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Times New Roman"/>
          <w:w w:val="90"/>
          <w:sz w:val="36"/>
          <w:szCs w:val="36"/>
        </w:rPr>
      </w:pPr>
      <w:bookmarkStart w:id="0" w:name="_Toc241901979"/>
      <w:bookmarkStart w:id="1" w:name="_Toc241902808"/>
      <w:r>
        <w:rPr>
          <w:rFonts w:hint="eastAsia" w:ascii="宋体" w:hAnsi="宋体" w:cs="Times New Roman"/>
          <w:w w:val="90"/>
          <w:sz w:val="36"/>
          <w:szCs w:val="36"/>
        </w:rPr>
        <w:t xml:space="preserve"> </w:t>
      </w:r>
      <w:bookmarkStart w:id="2" w:name="_Hlk79841953"/>
      <w:r>
        <w:rPr>
          <w:rFonts w:hint="eastAsia" w:ascii="宋体" w:hAnsi="宋体" w:cs="Times New Roman"/>
          <w:w w:val="90"/>
          <w:sz w:val="36"/>
          <w:szCs w:val="36"/>
        </w:rPr>
        <w:t>招标编号:</w:t>
      </w:r>
      <w:bookmarkEnd w:id="2"/>
      <w:r>
        <w:rPr>
          <w:rFonts w:hint="eastAsia" w:ascii="宋体" w:hAnsi="宋体" w:cs="Times New Roman"/>
          <w:w w:val="90"/>
          <w:sz w:val="36"/>
          <w:szCs w:val="36"/>
        </w:rPr>
        <w:t xml:space="preserve"> </w:t>
      </w:r>
      <w:r>
        <w:rPr>
          <w:rFonts w:hint="eastAsia" w:ascii="宋体" w:hAnsi="宋体" w:cs="Times New Roman"/>
          <w:w w:val="90"/>
          <w:sz w:val="36"/>
          <w:szCs w:val="36"/>
          <w:lang w:val="zh-CN"/>
        </w:rPr>
        <w:t>TCMC-WL20231101</w:t>
      </w:r>
    </w:p>
    <w:p>
      <w:pPr>
        <w:jc w:val="center"/>
        <w:rPr>
          <w:rFonts w:ascii="宋体" w:hAnsi="宋体"/>
          <w:b/>
          <w:spacing w:val="32"/>
          <w:w w:val="90"/>
          <w:sz w:val="52"/>
          <w:szCs w:val="52"/>
        </w:rPr>
      </w:pPr>
      <w:bookmarkStart w:id="3" w:name="_Hlk79758935"/>
      <w:r>
        <w:rPr>
          <w:rFonts w:hint="eastAsia" w:ascii="宋体" w:hAnsi="宋体"/>
          <w:b/>
          <w:spacing w:val="32"/>
          <w:w w:val="90"/>
          <w:sz w:val="52"/>
          <w:szCs w:val="52"/>
        </w:rPr>
        <w:t>四川天成明超电缆有限公司</w:t>
      </w:r>
    </w:p>
    <w:p>
      <w:pPr>
        <w:jc w:val="center"/>
        <w:rPr>
          <w:rFonts w:ascii="宋体" w:hAnsi="宋体"/>
          <w:b/>
          <w:spacing w:val="32"/>
          <w:w w:val="90"/>
          <w:sz w:val="52"/>
          <w:szCs w:val="52"/>
        </w:rPr>
      </w:pPr>
      <w:r>
        <w:rPr>
          <w:rFonts w:hint="eastAsia" w:ascii="宋体" w:hAnsi="宋体"/>
          <w:b/>
          <w:spacing w:val="32"/>
          <w:w w:val="90"/>
          <w:sz w:val="52"/>
          <w:szCs w:val="52"/>
        </w:rPr>
        <w:t>2024年度物流运输服务项目</w:t>
      </w:r>
    </w:p>
    <w:bookmarkEnd w:id="3"/>
    <w:p>
      <w:pPr>
        <w:jc w:val="center"/>
        <w:rPr>
          <w:rFonts w:ascii="宋体" w:hAnsi="宋体"/>
          <w:b/>
          <w:spacing w:val="32"/>
          <w:w w:val="90"/>
          <w:sz w:val="52"/>
          <w:szCs w:val="52"/>
        </w:rPr>
      </w:pPr>
    </w:p>
    <w:p>
      <w:pPr>
        <w:jc w:val="center"/>
        <w:rPr>
          <w:rFonts w:ascii="宋体" w:hAnsi="宋体"/>
          <w:b/>
          <w:spacing w:val="32"/>
          <w:w w:val="90"/>
          <w:sz w:val="52"/>
          <w:szCs w:val="52"/>
        </w:rPr>
      </w:pPr>
      <w:r>
        <w:rPr>
          <w:rFonts w:hint="eastAsia" w:ascii="宋体" w:hAnsi="宋体"/>
          <w:b/>
          <w:spacing w:val="32"/>
          <w:w w:val="90"/>
          <w:sz w:val="52"/>
          <w:szCs w:val="52"/>
        </w:rPr>
        <w:t>招标文件</w:t>
      </w:r>
    </w:p>
    <w:p>
      <w:pPr>
        <w:jc w:val="center"/>
        <w:rPr>
          <w:rFonts w:ascii="宋体" w:hAnsi="宋体"/>
          <w:b/>
          <w:spacing w:val="32"/>
          <w:w w:val="90"/>
          <w:sz w:val="52"/>
          <w:szCs w:val="52"/>
        </w:rPr>
      </w:pPr>
    </w:p>
    <w:p>
      <w:pPr>
        <w:jc w:val="center"/>
        <w:rPr>
          <w:rFonts w:ascii="宋体" w:hAnsi="宋体"/>
          <w:b/>
          <w:spacing w:val="32"/>
          <w:w w:val="90"/>
          <w:sz w:val="52"/>
          <w:szCs w:val="52"/>
        </w:rPr>
      </w:pPr>
    </w:p>
    <w:p>
      <w:pPr>
        <w:snapToGrid w:val="0"/>
        <w:jc w:val="center"/>
        <w:rPr>
          <w:rFonts w:ascii="仿宋_GB2312" w:hAnsi="宋体" w:eastAsia="仿宋_GB2312"/>
          <w:b/>
          <w:spacing w:val="32"/>
          <w:w w:val="90"/>
          <w:sz w:val="48"/>
          <w:szCs w:val="48"/>
        </w:rPr>
      </w:pPr>
      <w:r>
        <w:drawing>
          <wp:inline distT="0" distB="0" distL="114300" distR="114300">
            <wp:extent cx="3416300" cy="967740"/>
            <wp:effectExtent l="0" t="0" r="1270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3416300" cy="967740"/>
                    </a:xfrm>
                    <a:prstGeom prst="rect">
                      <a:avLst/>
                    </a:prstGeom>
                    <a:noFill/>
                    <a:ln>
                      <a:noFill/>
                    </a:ln>
                  </pic:spPr>
                </pic:pic>
              </a:graphicData>
            </a:graphic>
          </wp:inline>
        </w:drawing>
      </w: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jc w:val="center"/>
        <w:rPr>
          <w:rFonts w:ascii="宋体" w:hAnsi="宋体" w:cs="Times New Roman"/>
          <w:w w:val="90"/>
          <w:sz w:val="36"/>
          <w:szCs w:val="36"/>
        </w:rPr>
      </w:pPr>
      <w:r>
        <w:rPr>
          <w:rFonts w:hint="eastAsia" w:ascii="宋体" w:hAnsi="宋体" w:cs="Times New Roman"/>
          <w:w w:val="90"/>
          <w:sz w:val="36"/>
          <w:szCs w:val="36"/>
        </w:rPr>
        <w:t>招 标 人：四川天成明超电缆有限公司</w:t>
      </w:r>
    </w:p>
    <w:p>
      <w:pPr>
        <w:jc w:val="center"/>
        <w:rPr>
          <w:rFonts w:ascii="宋体" w:hAnsi="宋体" w:cs="Times New Roman"/>
          <w:w w:val="90"/>
          <w:sz w:val="36"/>
          <w:szCs w:val="36"/>
        </w:rPr>
      </w:pPr>
      <w:r>
        <w:rPr>
          <w:rFonts w:hint="eastAsia" w:ascii="宋体" w:hAnsi="宋体" w:cs="Times New Roman"/>
          <w:w w:val="90"/>
          <w:sz w:val="36"/>
          <w:szCs w:val="36"/>
        </w:rPr>
        <w:t>二○二三年十一月</w:t>
      </w:r>
    </w:p>
    <w:p>
      <w:pPr>
        <w:ind w:firstLine="709" w:firstLineChars="219"/>
        <w:jc w:val="center"/>
        <w:rPr>
          <w:rFonts w:ascii="宋体" w:hAnsi="宋体" w:cs="Times New Roman"/>
          <w:w w:val="90"/>
          <w:sz w:val="36"/>
          <w:szCs w:val="36"/>
        </w:rPr>
      </w:pPr>
    </w:p>
    <w:p>
      <w:pPr>
        <w:widowControl/>
        <w:jc w:val="left"/>
        <w:rPr>
          <w:rFonts w:ascii="宋体" w:hAnsi="宋体"/>
          <w:kern w:val="0"/>
          <w:sz w:val="32"/>
          <w:szCs w:val="32"/>
        </w:rPr>
        <w:sectPr>
          <w:footerReference r:id="rId3" w:type="default"/>
          <w:pgSz w:w="11906" w:h="16838"/>
          <w:pgMar w:top="1701" w:right="1418" w:bottom="1418" w:left="1418" w:header="851" w:footer="992" w:gutter="0"/>
          <w:cols w:space="720" w:num="1"/>
          <w:docGrid w:type="lines" w:linePitch="312" w:charSpace="0"/>
        </w:sectPr>
      </w:pPr>
    </w:p>
    <w:p>
      <w:pPr>
        <w:jc w:val="center"/>
        <w:rPr>
          <w:b/>
        </w:rPr>
      </w:pPr>
      <w:r>
        <w:rPr>
          <w:rFonts w:hint="eastAsia"/>
          <w:b/>
          <w:lang w:val="zh-CN"/>
        </w:rPr>
        <w:t xml:space="preserve">目 </w:t>
      </w:r>
      <w:r>
        <w:rPr>
          <w:b/>
          <w:lang w:val="zh-CN"/>
        </w:rPr>
        <w:t xml:space="preserve">   </w:t>
      </w:r>
      <w:r>
        <w:rPr>
          <w:rFonts w:hint="eastAsia"/>
          <w:b/>
          <w:lang w:val="zh-CN"/>
        </w:rPr>
        <w:t>录</w:t>
      </w:r>
    </w:p>
    <w:p>
      <w:pPr>
        <w:pStyle w:val="23"/>
        <w:tabs>
          <w:tab w:val="right" w:leader="dot" w:pos="9060"/>
        </w:tabs>
        <w:rPr>
          <w:rFonts w:ascii="仿宋" w:hAnsi="仿宋" w:eastAsia="仿宋" w:cstheme="minorBidi"/>
          <w:szCs w:val="22"/>
        </w:rPr>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fldChar w:fldCharType="begin"/>
      </w:r>
      <w:r>
        <w:instrText xml:space="preserve"> HYPERLINK \l "_Toc151390329" </w:instrText>
      </w:r>
      <w:r>
        <w:fldChar w:fldCharType="separate"/>
      </w:r>
      <w:r>
        <w:rPr>
          <w:rStyle w:val="44"/>
          <w:rFonts w:hint="eastAsia" w:ascii="仿宋" w:hAnsi="仿宋" w:eastAsia="仿宋"/>
        </w:rPr>
        <w:t>第一章</w:t>
      </w:r>
      <w:r>
        <w:rPr>
          <w:rStyle w:val="44"/>
          <w:rFonts w:ascii="仿宋" w:hAnsi="仿宋" w:eastAsia="仿宋"/>
        </w:rPr>
        <w:t xml:space="preserve">  </w:t>
      </w:r>
      <w:r>
        <w:rPr>
          <w:rStyle w:val="44"/>
          <w:rFonts w:hint="eastAsia" w:ascii="仿宋" w:hAnsi="仿宋" w:eastAsia="仿宋"/>
        </w:rPr>
        <w:t>招标公告</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_Toc151390329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"_Toc151390330" </w:instrText>
      </w:r>
      <w:r>
        <w:fldChar w:fldCharType="separate"/>
      </w:r>
      <w:r>
        <w:rPr>
          <w:rStyle w:val="44"/>
          <w:rFonts w:hint="eastAsia" w:ascii="仿宋" w:hAnsi="仿宋" w:eastAsia="仿宋"/>
        </w:rPr>
        <w:t>一、招标条件</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_Toc151390330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"_Toc151390331" </w:instrText>
      </w:r>
      <w:r>
        <w:fldChar w:fldCharType="separate"/>
      </w:r>
      <w:r>
        <w:rPr>
          <w:rStyle w:val="44"/>
          <w:rFonts w:hint="eastAsia" w:ascii="仿宋" w:hAnsi="仿宋" w:eastAsia="仿宋"/>
        </w:rPr>
        <w:t>二、项目概况、招标范围</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_Toc151390331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"_Toc151390332" </w:instrText>
      </w:r>
      <w:r>
        <w:fldChar w:fldCharType="separate"/>
      </w:r>
      <w:r>
        <w:rPr>
          <w:rStyle w:val="44"/>
          <w:rFonts w:hint="eastAsia" w:ascii="仿宋" w:hAnsi="仿宋" w:eastAsia="仿宋"/>
        </w:rPr>
        <w:t>三、投标人资格要求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_Toc151390332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"_Toc151390333" </w:instrText>
      </w:r>
      <w:r>
        <w:fldChar w:fldCharType="separate"/>
      </w:r>
      <w:r>
        <w:rPr>
          <w:rStyle w:val="44"/>
          <w:rFonts w:hint="eastAsia" w:ascii="仿宋" w:hAnsi="仿宋" w:eastAsia="仿宋"/>
        </w:rPr>
        <w:t>四、招标文件的获取</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_Toc151390333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"_Toc151390334" </w:instrText>
      </w:r>
      <w:r>
        <w:fldChar w:fldCharType="separate"/>
      </w:r>
      <w:r>
        <w:rPr>
          <w:rStyle w:val="44"/>
          <w:rFonts w:hint="eastAsia" w:ascii="仿宋" w:hAnsi="仿宋" w:eastAsia="仿宋"/>
        </w:rPr>
        <w:t>五、投标文件的递交</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_Toc151390334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"_Toc151390335" </w:instrText>
      </w:r>
      <w:r>
        <w:fldChar w:fldCharType="separate"/>
      </w:r>
      <w:r>
        <w:rPr>
          <w:rStyle w:val="44"/>
          <w:rFonts w:hint="eastAsia" w:ascii="仿宋" w:hAnsi="仿宋" w:eastAsia="仿宋" w:cs="Times New Roman"/>
          <w:bCs/>
          <w:kern w:val="0"/>
        </w:rPr>
        <w:t>六、评标办法</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_Toc151390335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"_Toc151390336" </w:instrText>
      </w:r>
      <w:r>
        <w:fldChar w:fldCharType="separate"/>
      </w:r>
      <w:r>
        <w:rPr>
          <w:rStyle w:val="44"/>
          <w:rFonts w:hint="eastAsia" w:ascii="仿宋" w:hAnsi="仿宋" w:eastAsia="仿宋" w:cs="Times New Roman"/>
          <w:bCs/>
          <w:kern w:val="0"/>
        </w:rPr>
        <w:t>七、发布公告的媒介</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_Toc151390336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"_Toc151390337" </w:instrText>
      </w:r>
      <w:r>
        <w:fldChar w:fldCharType="separate"/>
      </w:r>
      <w:r>
        <w:rPr>
          <w:rStyle w:val="44"/>
          <w:rFonts w:hint="eastAsia" w:ascii="仿宋" w:hAnsi="仿宋" w:eastAsia="仿宋" w:cs="Times New Roman"/>
          <w:bCs/>
          <w:kern w:val="0"/>
        </w:rPr>
        <w:t>八、联系方式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_Toc151390337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"_Toc151390338" </w:instrText>
      </w:r>
      <w:r>
        <w:fldChar w:fldCharType="separate"/>
      </w:r>
      <w:r>
        <w:rPr>
          <w:rStyle w:val="44"/>
          <w:rFonts w:hint="eastAsia" w:ascii="仿宋" w:hAnsi="仿宋" w:eastAsia="仿宋"/>
        </w:rPr>
        <w:t>九、提出异议的渠道和方式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_Toc151390338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23"/>
        <w:tabs>
          <w:tab w:val="right" w:leader="dot" w:pos="9060"/>
        </w:tabs>
        <w:rPr>
          <w:rFonts w:ascii="仿宋" w:hAnsi="仿宋" w:eastAsia="仿宋" w:cstheme="minorBidi"/>
          <w:szCs w:val="22"/>
        </w:rPr>
      </w:pPr>
      <w:r>
        <w:fldChar w:fldCharType="begin"/>
      </w:r>
      <w:r>
        <w:instrText xml:space="preserve"> HYPERLINK \l "_Toc151390339" </w:instrText>
      </w:r>
      <w:r>
        <w:fldChar w:fldCharType="separate"/>
      </w:r>
      <w:r>
        <w:rPr>
          <w:rStyle w:val="44"/>
          <w:rFonts w:hint="eastAsia" w:ascii="仿宋" w:hAnsi="仿宋" w:eastAsia="仿宋"/>
        </w:rPr>
        <w:t>第二章</w:t>
      </w:r>
      <w:r>
        <w:rPr>
          <w:rStyle w:val="44"/>
          <w:rFonts w:ascii="仿宋" w:hAnsi="仿宋" w:eastAsia="仿宋"/>
        </w:rPr>
        <w:t xml:space="preserve">  </w:t>
      </w:r>
      <w:r>
        <w:rPr>
          <w:rStyle w:val="44"/>
          <w:rFonts w:hint="eastAsia" w:ascii="仿宋" w:hAnsi="仿宋" w:eastAsia="仿宋"/>
        </w:rPr>
        <w:t>投标人须知</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_Toc151390339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"_Toc151390340" </w:instrText>
      </w:r>
      <w:r>
        <w:fldChar w:fldCharType="separate"/>
      </w:r>
      <w:r>
        <w:rPr>
          <w:rStyle w:val="44"/>
          <w:rFonts w:hint="eastAsia" w:ascii="仿宋" w:hAnsi="仿宋" w:eastAsia="仿宋"/>
        </w:rPr>
        <w:t>投标人须知前附表</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_Toc151390340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"_Toc151390341" </w:instrText>
      </w:r>
      <w:r>
        <w:fldChar w:fldCharType="separate"/>
      </w:r>
      <w:r>
        <w:rPr>
          <w:rStyle w:val="44"/>
          <w:rFonts w:ascii="仿宋" w:hAnsi="仿宋" w:eastAsia="仿宋"/>
          <w:bCs/>
          <w:kern w:val="0"/>
        </w:rPr>
        <w:t>2.1</w:t>
      </w:r>
      <w:r>
        <w:rPr>
          <w:rStyle w:val="44"/>
          <w:rFonts w:hint="eastAsia" w:ascii="仿宋" w:hAnsi="仿宋" w:eastAsia="仿宋"/>
          <w:bCs/>
          <w:kern w:val="0"/>
        </w:rPr>
        <w:t>总则</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_Toc151390341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"_Toc151390342" </w:instrText>
      </w:r>
      <w:r>
        <w:fldChar w:fldCharType="separate"/>
      </w:r>
      <w:r>
        <w:rPr>
          <w:rStyle w:val="44"/>
          <w:rFonts w:ascii="仿宋" w:hAnsi="仿宋" w:eastAsia="仿宋"/>
          <w:bCs/>
          <w:kern w:val="0"/>
        </w:rPr>
        <w:t xml:space="preserve">2.1.1 </w:t>
      </w:r>
      <w:r>
        <w:rPr>
          <w:rStyle w:val="44"/>
          <w:rFonts w:hint="eastAsia" w:ascii="仿宋" w:hAnsi="仿宋" w:eastAsia="仿宋"/>
          <w:bCs/>
          <w:kern w:val="0"/>
        </w:rPr>
        <w:t>项目概况</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_Toc151390342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"_Toc151390343" </w:instrText>
      </w:r>
      <w:r>
        <w:fldChar w:fldCharType="separate"/>
      </w:r>
      <w:r>
        <w:rPr>
          <w:rStyle w:val="44"/>
          <w:rFonts w:ascii="仿宋" w:hAnsi="仿宋" w:eastAsia="仿宋"/>
          <w:bCs/>
          <w:kern w:val="0"/>
        </w:rPr>
        <w:t xml:space="preserve">2.1.2 </w:t>
      </w:r>
      <w:r>
        <w:rPr>
          <w:rStyle w:val="44"/>
          <w:rFonts w:hint="eastAsia" w:ascii="仿宋" w:hAnsi="仿宋" w:eastAsia="仿宋"/>
          <w:bCs/>
          <w:kern w:val="0"/>
        </w:rPr>
        <w:t>项目的资金来源和落实情况</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_Toc151390343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"_Toc151390344" </w:instrText>
      </w:r>
      <w:r>
        <w:fldChar w:fldCharType="separate"/>
      </w:r>
      <w:r>
        <w:rPr>
          <w:rStyle w:val="44"/>
          <w:rFonts w:ascii="仿宋" w:hAnsi="仿宋" w:eastAsia="仿宋"/>
          <w:bCs/>
          <w:kern w:val="0"/>
        </w:rPr>
        <w:t xml:space="preserve">2.1.3 </w:t>
      </w:r>
      <w:r>
        <w:rPr>
          <w:rStyle w:val="44"/>
          <w:rFonts w:hint="eastAsia" w:ascii="仿宋" w:hAnsi="仿宋" w:eastAsia="仿宋"/>
          <w:bCs/>
          <w:kern w:val="0"/>
        </w:rPr>
        <w:t>招标范围、交货时间、交货地点和质量要求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_Toc151390344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"_Toc151390345" </w:instrText>
      </w:r>
      <w:r>
        <w:fldChar w:fldCharType="separate"/>
      </w:r>
      <w:r>
        <w:rPr>
          <w:rStyle w:val="44"/>
          <w:rFonts w:ascii="仿宋" w:hAnsi="仿宋" w:eastAsia="仿宋"/>
          <w:bCs/>
          <w:kern w:val="0"/>
        </w:rPr>
        <w:t xml:space="preserve">2.1.4 </w:t>
      </w:r>
      <w:r>
        <w:rPr>
          <w:rStyle w:val="44"/>
          <w:rFonts w:hint="eastAsia" w:ascii="仿宋" w:hAnsi="仿宋" w:eastAsia="仿宋"/>
          <w:bCs/>
          <w:kern w:val="0"/>
        </w:rPr>
        <w:t>投标人资格要求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_Toc151390345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"_Toc151390346" </w:instrText>
      </w:r>
      <w:r>
        <w:fldChar w:fldCharType="separate"/>
      </w:r>
      <w:r>
        <w:rPr>
          <w:rStyle w:val="44"/>
          <w:rFonts w:ascii="仿宋" w:hAnsi="仿宋" w:eastAsia="仿宋"/>
          <w:bCs/>
          <w:kern w:val="0"/>
        </w:rPr>
        <w:t xml:space="preserve">2.1.5 </w:t>
      </w:r>
      <w:r>
        <w:rPr>
          <w:rStyle w:val="44"/>
          <w:rFonts w:hint="eastAsia" w:ascii="仿宋" w:hAnsi="仿宋" w:eastAsia="仿宋"/>
          <w:bCs/>
          <w:kern w:val="0"/>
        </w:rPr>
        <w:t>费用承担</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_Toc151390346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"_Toc151390347" </w:instrText>
      </w:r>
      <w:r>
        <w:fldChar w:fldCharType="separate"/>
      </w:r>
      <w:r>
        <w:rPr>
          <w:rStyle w:val="44"/>
          <w:rFonts w:ascii="仿宋" w:hAnsi="仿宋" w:eastAsia="仿宋"/>
          <w:bCs/>
          <w:kern w:val="0"/>
        </w:rPr>
        <w:t xml:space="preserve">2.1.6 </w:t>
      </w:r>
      <w:r>
        <w:rPr>
          <w:rStyle w:val="44"/>
          <w:rFonts w:hint="eastAsia" w:ascii="仿宋" w:hAnsi="仿宋" w:eastAsia="仿宋"/>
          <w:bCs/>
          <w:kern w:val="0"/>
        </w:rPr>
        <w:t>保密</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_Toc151390347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"_Toc151390348" </w:instrText>
      </w:r>
      <w:r>
        <w:fldChar w:fldCharType="separate"/>
      </w:r>
      <w:r>
        <w:rPr>
          <w:rStyle w:val="44"/>
          <w:rFonts w:ascii="仿宋" w:hAnsi="仿宋" w:eastAsia="仿宋"/>
          <w:bCs/>
          <w:kern w:val="0"/>
        </w:rPr>
        <w:t xml:space="preserve">2.1.7 </w:t>
      </w:r>
      <w:r>
        <w:rPr>
          <w:rStyle w:val="44"/>
          <w:rFonts w:hint="eastAsia" w:ascii="仿宋" w:hAnsi="仿宋" w:eastAsia="仿宋"/>
          <w:bCs/>
          <w:kern w:val="0"/>
        </w:rPr>
        <w:t>语言文字</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_Toc151390348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"_Toc151390349" </w:instrText>
      </w:r>
      <w:r>
        <w:fldChar w:fldCharType="separate"/>
      </w:r>
      <w:r>
        <w:rPr>
          <w:rStyle w:val="44"/>
          <w:rFonts w:ascii="仿宋" w:hAnsi="仿宋" w:eastAsia="仿宋"/>
          <w:bCs/>
          <w:kern w:val="0"/>
        </w:rPr>
        <w:t xml:space="preserve">2.1.8 </w:t>
      </w:r>
      <w:r>
        <w:rPr>
          <w:rStyle w:val="44"/>
          <w:rFonts w:hint="eastAsia" w:ascii="仿宋" w:hAnsi="仿宋" w:eastAsia="仿宋"/>
          <w:bCs/>
          <w:kern w:val="0"/>
        </w:rPr>
        <w:t>计量单位</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_Toc151390349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"_Toc151390350" </w:instrText>
      </w:r>
      <w:r>
        <w:fldChar w:fldCharType="separate"/>
      </w:r>
      <w:r>
        <w:rPr>
          <w:rStyle w:val="44"/>
          <w:rFonts w:ascii="仿宋" w:hAnsi="仿宋" w:eastAsia="仿宋"/>
          <w:bCs/>
          <w:kern w:val="0"/>
        </w:rPr>
        <w:t xml:space="preserve">2.1.9 </w:t>
      </w:r>
      <w:r>
        <w:rPr>
          <w:rStyle w:val="44"/>
          <w:rFonts w:hint="eastAsia" w:ascii="仿宋" w:hAnsi="仿宋" w:eastAsia="仿宋"/>
          <w:bCs/>
          <w:kern w:val="0"/>
        </w:rPr>
        <w:t>踏勘现场</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_Toc151390350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"_Toc151390351" </w:instrText>
      </w:r>
      <w:r>
        <w:fldChar w:fldCharType="separate"/>
      </w:r>
      <w:r>
        <w:rPr>
          <w:rStyle w:val="44"/>
          <w:rFonts w:ascii="仿宋" w:hAnsi="仿宋" w:eastAsia="仿宋"/>
          <w:bCs/>
          <w:kern w:val="0"/>
        </w:rPr>
        <w:t xml:space="preserve">2.1.10 </w:t>
      </w:r>
      <w:r>
        <w:rPr>
          <w:rStyle w:val="44"/>
          <w:rFonts w:hint="eastAsia" w:ascii="仿宋" w:hAnsi="仿宋" w:eastAsia="仿宋"/>
          <w:bCs/>
          <w:kern w:val="0"/>
        </w:rPr>
        <w:t>投标预备会</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_Toc151390351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"_Toc151390352" </w:instrText>
      </w:r>
      <w:r>
        <w:fldChar w:fldCharType="separate"/>
      </w:r>
      <w:r>
        <w:rPr>
          <w:rStyle w:val="44"/>
          <w:rFonts w:ascii="仿宋" w:hAnsi="仿宋" w:eastAsia="仿宋"/>
          <w:bCs/>
          <w:kern w:val="0"/>
        </w:rPr>
        <w:t xml:space="preserve">2.1.11 </w:t>
      </w:r>
      <w:r>
        <w:rPr>
          <w:rStyle w:val="44"/>
          <w:rFonts w:hint="eastAsia" w:ascii="仿宋" w:hAnsi="仿宋" w:eastAsia="仿宋"/>
          <w:bCs/>
          <w:kern w:val="0"/>
        </w:rPr>
        <w:t>响应和偏差</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_Toc151390352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"_Toc151390353" </w:instrText>
      </w:r>
      <w:r>
        <w:fldChar w:fldCharType="separate"/>
      </w:r>
      <w:r>
        <w:rPr>
          <w:rStyle w:val="44"/>
          <w:rFonts w:ascii="仿宋" w:hAnsi="仿宋" w:eastAsia="仿宋" w:cs="楷体"/>
          <w:bCs/>
          <w:kern w:val="0"/>
        </w:rPr>
        <w:t>2.2</w:t>
      </w:r>
      <w:r>
        <w:rPr>
          <w:rStyle w:val="44"/>
          <w:rFonts w:hint="eastAsia" w:ascii="仿宋" w:hAnsi="仿宋" w:eastAsia="仿宋" w:cs="楷体"/>
          <w:bCs/>
          <w:kern w:val="0"/>
        </w:rPr>
        <w:t>招标文件</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_Toc151390353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"_Toc151390354" </w:instrText>
      </w:r>
      <w:r>
        <w:fldChar w:fldCharType="separate"/>
      </w:r>
      <w:r>
        <w:rPr>
          <w:rStyle w:val="44"/>
          <w:rFonts w:ascii="仿宋" w:hAnsi="仿宋" w:eastAsia="仿宋" w:cs="楷体"/>
          <w:kern w:val="0"/>
        </w:rPr>
        <w:t xml:space="preserve">2.2.1 </w:t>
      </w:r>
      <w:r>
        <w:rPr>
          <w:rStyle w:val="44"/>
          <w:rFonts w:hint="eastAsia" w:ascii="仿宋" w:hAnsi="仿宋" w:eastAsia="仿宋" w:cs="楷体"/>
          <w:kern w:val="0"/>
        </w:rPr>
        <w:t>招标文件的组成及内容</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_Toc151390354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"_Toc151390355" </w:instrText>
      </w:r>
      <w:r>
        <w:fldChar w:fldCharType="separate"/>
      </w:r>
      <w:r>
        <w:rPr>
          <w:rStyle w:val="44"/>
          <w:rFonts w:ascii="仿宋" w:hAnsi="仿宋" w:eastAsia="仿宋" w:cs="楷体"/>
          <w:kern w:val="0"/>
        </w:rPr>
        <w:t xml:space="preserve">2.2.2 </w:t>
      </w:r>
      <w:r>
        <w:rPr>
          <w:rStyle w:val="44"/>
          <w:rFonts w:hint="eastAsia" w:ascii="仿宋" w:hAnsi="仿宋" w:eastAsia="仿宋" w:cs="楷体"/>
          <w:kern w:val="0"/>
        </w:rPr>
        <w:t>招标文件的澄清</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_Toc151390355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"_Toc151390356" </w:instrText>
      </w:r>
      <w:r>
        <w:fldChar w:fldCharType="separate"/>
      </w:r>
      <w:r>
        <w:rPr>
          <w:rStyle w:val="44"/>
          <w:rFonts w:ascii="仿宋" w:hAnsi="仿宋" w:eastAsia="仿宋"/>
          <w:bCs/>
          <w:kern w:val="0"/>
        </w:rPr>
        <w:t xml:space="preserve">2.2.3 </w:t>
      </w:r>
      <w:r>
        <w:rPr>
          <w:rStyle w:val="44"/>
          <w:rFonts w:hint="eastAsia" w:ascii="仿宋" w:hAnsi="仿宋" w:eastAsia="仿宋"/>
          <w:bCs/>
          <w:kern w:val="0"/>
        </w:rPr>
        <w:t>招标文件的修改</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_Toc151390356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"_Toc151390357" </w:instrText>
      </w:r>
      <w:r>
        <w:fldChar w:fldCharType="separate"/>
      </w:r>
      <w:r>
        <w:rPr>
          <w:rStyle w:val="44"/>
          <w:rFonts w:ascii="仿宋" w:hAnsi="仿宋" w:eastAsia="仿宋"/>
          <w:bCs/>
          <w:kern w:val="0"/>
        </w:rPr>
        <w:t xml:space="preserve">2.2.4 </w:t>
      </w:r>
      <w:r>
        <w:rPr>
          <w:rStyle w:val="44"/>
          <w:rFonts w:hint="eastAsia" w:ascii="仿宋" w:hAnsi="仿宋" w:eastAsia="仿宋"/>
          <w:bCs/>
          <w:kern w:val="0"/>
        </w:rPr>
        <w:t>对招标文件的异议</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_Toc151390357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"_Toc151390358" </w:instrText>
      </w:r>
      <w:r>
        <w:fldChar w:fldCharType="separate"/>
      </w:r>
      <w:r>
        <w:rPr>
          <w:rStyle w:val="44"/>
          <w:rFonts w:ascii="仿宋" w:hAnsi="仿宋" w:eastAsia="仿宋" w:cs="楷体"/>
          <w:bCs/>
          <w:kern w:val="0"/>
        </w:rPr>
        <w:t>2.3</w:t>
      </w:r>
      <w:r>
        <w:rPr>
          <w:rStyle w:val="44"/>
          <w:rFonts w:hint="eastAsia" w:ascii="仿宋" w:hAnsi="仿宋" w:eastAsia="仿宋" w:cs="楷体"/>
          <w:bCs/>
          <w:kern w:val="0"/>
        </w:rPr>
        <w:t>投标文件</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_Toc151390358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"_Toc151390359" </w:instrText>
      </w:r>
      <w:r>
        <w:fldChar w:fldCharType="separate"/>
      </w:r>
      <w:r>
        <w:rPr>
          <w:rStyle w:val="44"/>
          <w:rFonts w:ascii="仿宋" w:hAnsi="仿宋" w:eastAsia="仿宋" w:cs="楷体"/>
          <w:kern w:val="0"/>
        </w:rPr>
        <w:t xml:space="preserve">2.3.1 </w:t>
      </w:r>
      <w:r>
        <w:rPr>
          <w:rStyle w:val="44"/>
          <w:rFonts w:hint="eastAsia" w:ascii="仿宋" w:hAnsi="仿宋" w:eastAsia="仿宋" w:cs="楷体"/>
          <w:kern w:val="0"/>
        </w:rPr>
        <w:t>投标文件的组成</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_Toc151390359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"_Toc151390360" </w:instrText>
      </w:r>
      <w:r>
        <w:fldChar w:fldCharType="separate"/>
      </w:r>
      <w:r>
        <w:rPr>
          <w:rStyle w:val="44"/>
          <w:rFonts w:ascii="仿宋" w:hAnsi="仿宋" w:eastAsia="仿宋" w:cs="楷体"/>
          <w:kern w:val="0"/>
        </w:rPr>
        <w:t xml:space="preserve">2.3.2 </w:t>
      </w:r>
      <w:r>
        <w:rPr>
          <w:rStyle w:val="44"/>
          <w:rFonts w:hint="eastAsia" w:ascii="仿宋" w:hAnsi="仿宋" w:eastAsia="仿宋" w:cs="楷体"/>
          <w:kern w:val="0"/>
        </w:rPr>
        <w:t>投标报价</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_Toc151390360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"_Toc151390361" </w:instrText>
      </w:r>
      <w:r>
        <w:fldChar w:fldCharType="separate"/>
      </w:r>
      <w:r>
        <w:rPr>
          <w:rStyle w:val="44"/>
          <w:rFonts w:ascii="仿宋" w:hAnsi="仿宋" w:eastAsia="仿宋" w:cs="楷体"/>
          <w:kern w:val="0"/>
        </w:rPr>
        <w:t xml:space="preserve">2.3.3 </w:t>
      </w:r>
      <w:r>
        <w:rPr>
          <w:rStyle w:val="44"/>
          <w:rFonts w:hint="eastAsia" w:ascii="仿宋" w:hAnsi="仿宋" w:eastAsia="仿宋" w:cs="楷体"/>
          <w:kern w:val="0"/>
        </w:rPr>
        <w:t>投标有效期</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_Toc151390361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"_Toc151390362" </w:instrText>
      </w:r>
      <w:r>
        <w:fldChar w:fldCharType="separate"/>
      </w:r>
      <w:r>
        <w:rPr>
          <w:rStyle w:val="44"/>
          <w:rFonts w:ascii="仿宋" w:hAnsi="仿宋" w:eastAsia="仿宋" w:cs="楷体"/>
          <w:kern w:val="0"/>
        </w:rPr>
        <w:t xml:space="preserve">2.3.4 </w:t>
      </w:r>
      <w:r>
        <w:rPr>
          <w:rStyle w:val="44"/>
          <w:rFonts w:hint="eastAsia" w:ascii="仿宋" w:hAnsi="仿宋" w:eastAsia="仿宋" w:cs="楷体"/>
          <w:kern w:val="0"/>
        </w:rPr>
        <w:t>投标保证金</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_Toc151390362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"_Toc151390363" </w:instrText>
      </w:r>
      <w:r>
        <w:fldChar w:fldCharType="separate"/>
      </w:r>
      <w:r>
        <w:rPr>
          <w:rStyle w:val="44"/>
          <w:rFonts w:ascii="仿宋" w:hAnsi="仿宋" w:eastAsia="仿宋" w:cs="楷体"/>
          <w:kern w:val="0"/>
        </w:rPr>
        <w:t xml:space="preserve">2.3.5 </w:t>
      </w:r>
      <w:r>
        <w:rPr>
          <w:rStyle w:val="44"/>
          <w:rFonts w:hint="eastAsia" w:ascii="仿宋" w:hAnsi="仿宋" w:eastAsia="仿宋" w:cs="楷体"/>
          <w:kern w:val="0"/>
        </w:rPr>
        <w:t>资格审查资料</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_Toc151390363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"_Toc151390364" </w:instrText>
      </w:r>
      <w:r>
        <w:fldChar w:fldCharType="separate"/>
      </w:r>
      <w:r>
        <w:rPr>
          <w:rStyle w:val="44"/>
          <w:rFonts w:ascii="仿宋" w:hAnsi="仿宋" w:eastAsia="仿宋" w:cs="楷体"/>
          <w:kern w:val="0"/>
        </w:rPr>
        <w:t xml:space="preserve">2.3.6 </w:t>
      </w:r>
      <w:r>
        <w:rPr>
          <w:rStyle w:val="44"/>
          <w:rFonts w:hint="eastAsia" w:ascii="仿宋" w:hAnsi="仿宋" w:eastAsia="仿宋" w:cs="楷体"/>
          <w:kern w:val="0"/>
        </w:rPr>
        <w:t>备选投标方案</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_Toc151390364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"_Toc151390365" </w:instrText>
      </w:r>
      <w:r>
        <w:fldChar w:fldCharType="separate"/>
      </w:r>
      <w:r>
        <w:rPr>
          <w:rStyle w:val="44"/>
          <w:rFonts w:ascii="仿宋" w:hAnsi="仿宋" w:eastAsia="仿宋" w:cs="楷体"/>
          <w:kern w:val="0"/>
        </w:rPr>
        <w:t xml:space="preserve">2.3.7 </w:t>
      </w:r>
      <w:r>
        <w:rPr>
          <w:rStyle w:val="44"/>
          <w:rFonts w:hint="eastAsia" w:ascii="仿宋" w:hAnsi="仿宋" w:eastAsia="仿宋" w:cs="楷体"/>
          <w:kern w:val="0"/>
        </w:rPr>
        <w:t>投标文件的编制</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_Toc151390365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"_Toc151390366" </w:instrText>
      </w:r>
      <w:r>
        <w:fldChar w:fldCharType="separate"/>
      </w:r>
      <w:r>
        <w:rPr>
          <w:rStyle w:val="44"/>
          <w:rFonts w:ascii="仿宋" w:hAnsi="仿宋" w:eastAsia="仿宋" w:cs="楷体"/>
          <w:bCs/>
          <w:kern w:val="0"/>
        </w:rPr>
        <w:t>2.4</w:t>
      </w:r>
      <w:r>
        <w:rPr>
          <w:rStyle w:val="44"/>
          <w:rFonts w:hint="eastAsia" w:ascii="仿宋" w:hAnsi="仿宋" w:eastAsia="仿宋" w:cs="楷体"/>
          <w:bCs/>
          <w:kern w:val="0"/>
        </w:rPr>
        <w:t>投标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_Toc151390366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"_Toc151390367" </w:instrText>
      </w:r>
      <w:r>
        <w:fldChar w:fldCharType="separate"/>
      </w:r>
      <w:r>
        <w:rPr>
          <w:rStyle w:val="44"/>
          <w:rFonts w:ascii="仿宋" w:hAnsi="仿宋" w:eastAsia="仿宋" w:cs="楷体"/>
          <w:kern w:val="0"/>
        </w:rPr>
        <w:t xml:space="preserve">2.4.1 </w:t>
      </w:r>
      <w:r>
        <w:rPr>
          <w:rStyle w:val="44"/>
          <w:rFonts w:hint="eastAsia" w:ascii="仿宋" w:hAnsi="仿宋" w:eastAsia="仿宋" w:cs="楷体"/>
          <w:kern w:val="0"/>
        </w:rPr>
        <w:t>投标文件的密封和标识</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_Toc151390367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"_Toc151390368" </w:instrText>
      </w:r>
      <w:r>
        <w:fldChar w:fldCharType="separate"/>
      </w:r>
      <w:r>
        <w:rPr>
          <w:rStyle w:val="44"/>
          <w:rFonts w:ascii="仿宋" w:hAnsi="仿宋" w:eastAsia="仿宋" w:cs="楷体"/>
          <w:kern w:val="0"/>
        </w:rPr>
        <w:t xml:space="preserve">2.4.2 </w:t>
      </w:r>
      <w:r>
        <w:rPr>
          <w:rStyle w:val="44"/>
          <w:rFonts w:hint="eastAsia" w:ascii="仿宋" w:hAnsi="仿宋" w:eastAsia="仿宋" w:cs="楷体"/>
          <w:kern w:val="0"/>
        </w:rPr>
        <w:t>投标文件的递交</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_Toc151390368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"_Toc151390369" </w:instrText>
      </w:r>
      <w:r>
        <w:fldChar w:fldCharType="separate"/>
      </w:r>
      <w:r>
        <w:rPr>
          <w:rStyle w:val="44"/>
          <w:rFonts w:ascii="仿宋" w:hAnsi="仿宋" w:eastAsia="仿宋" w:cs="楷体"/>
          <w:kern w:val="0"/>
        </w:rPr>
        <w:t xml:space="preserve">2.4.3 </w:t>
      </w:r>
      <w:r>
        <w:rPr>
          <w:rStyle w:val="44"/>
          <w:rFonts w:hint="eastAsia" w:ascii="仿宋" w:hAnsi="仿宋" w:eastAsia="仿宋" w:cs="楷体"/>
          <w:kern w:val="0"/>
        </w:rPr>
        <w:t>投标文件的修改与撤回</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_Toc151390369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"_Toc151390370" </w:instrText>
      </w:r>
      <w:r>
        <w:fldChar w:fldCharType="separate"/>
      </w:r>
      <w:r>
        <w:rPr>
          <w:rStyle w:val="44"/>
          <w:rFonts w:ascii="仿宋" w:hAnsi="仿宋" w:eastAsia="仿宋" w:cs="楷体"/>
          <w:bCs/>
          <w:kern w:val="0"/>
        </w:rPr>
        <w:t>2.5</w:t>
      </w:r>
      <w:r>
        <w:rPr>
          <w:rStyle w:val="44"/>
          <w:rFonts w:hint="eastAsia" w:ascii="仿宋" w:hAnsi="仿宋" w:eastAsia="仿宋" w:cs="楷体"/>
          <w:bCs/>
          <w:kern w:val="0"/>
        </w:rPr>
        <w:t>开标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_Toc151390370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"_Toc151390371" </w:instrText>
      </w:r>
      <w:r>
        <w:fldChar w:fldCharType="separate"/>
      </w:r>
      <w:r>
        <w:rPr>
          <w:rStyle w:val="44"/>
          <w:rFonts w:ascii="仿宋" w:hAnsi="仿宋" w:eastAsia="仿宋" w:cs="楷体"/>
          <w:kern w:val="0"/>
        </w:rPr>
        <w:t xml:space="preserve">2.5.1 </w:t>
      </w:r>
      <w:r>
        <w:rPr>
          <w:rStyle w:val="44"/>
          <w:rFonts w:hint="eastAsia" w:ascii="仿宋" w:hAnsi="仿宋" w:eastAsia="仿宋" w:cs="楷体"/>
          <w:kern w:val="0"/>
        </w:rPr>
        <w:t>开标时间和地点</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_Toc151390371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"_Toc151390372" </w:instrText>
      </w:r>
      <w:r>
        <w:fldChar w:fldCharType="separate"/>
      </w:r>
      <w:r>
        <w:rPr>
          <w:rStyle w:val="44"/>
          <w:rFonts w:ascii="仿宋" w:hAnsi="仿宋" w:eastAsia="仿宋" w:cs="楷体"/>
          <w:kern w:val="0"/>
        </w:rPr>
        <w:t xml:space="preserve">2.5.2 </w:t>
      </w:r>
      <w:r>
        <w:rPr>
          <w:rStyle w:val="44"/>
          <w:rFonts w:hint="eastAsia" w:ascii="仿宋" w:hAnsi="仿宋" w:eastAsia="仿宋" w:cs="楷体"/>
          <w:kern w:val="0"/>
        </w:rPr>
        <w:t>开标程序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_Toc151390372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"_Toc151390373" </w:instrText>
      </w:r>
      <w:r>
        <w:fldChar w:fldCharType="separate"/>
      </w:r>
      <w:r>
        <w:rPr>
          <w:rStyle w:val="44"/>
          <w:rFonts w:ascii="仿宋" w:hAnsi="仿宋" w:eastAsia="仿宋" w:cs="楷体"/>
          <w:bCs/>
          <w:kern w:val="0"/>
        </w:rPr>
        <w:t>2.6</w:t>
      </w:r>
      <w:r>
        <w:rPr>
          <w:rStyle w:val="44"/>
          <w:rFonts w:hint="eastAsia" w:ascii="仿宋" w:hAnsi="仿宋" w:eastAsia="仿宋" w:cs="楷体"/>
          <w:bCs/>
          <w:kern w:val="0"/>
        </w:rPr>
        <w:t>评标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_Toc151390373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"_Toc151390374" </w:instrText>
      </w:r>
      <w:r>
        <w:fldChar w:fldCharType="separate"/>
      </w:r>
      <w:r>
        <w:rPr>
          <w:rStyle w:val="44"/>
          <w:rFonts w:ascii="仿宋" w:hAnsi="仿宋" w:eastAsia="仿宋" w:cs="楷体"/>
          <w:kern w:val="0"/>
        </w:rPr>
        <w:t xml:space="preserve">2.6.1 </w:t>
      </w:r>
      <w:r>
        <w:rPr>
          <w:rStyle w:val="44"/>
          <w:rFonts w:hint="eastAsia" w:ascii="仿宋" w:hAnsi="仿宋" w:eastAsia="仿宋" w:cs="楷体"/>
          <w:kern w:val="0"/>
        </w:rPr>
        <w:t>评标委员会</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_Toc151390374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"_Toc151390375" </w:instrText>
      </w:r>
      <w:r>
        <w:fldChar w:fldCharType="separate"/>
      </w:r>
      <w:r>
        <w:rPr>
          <w:rStyle w:val="44"/>
          <w:rFonts w:ascii="仿宋" w:hAnsi="仿宋" w:eastAsia="仿宋" w:cs="楷体"/>
          <w:kern w:val="0"/>
        </w:rPr>
        <w:t xml:space="preserve">2.6.2 </w:t>
      </w:r>
      <w:r>
        <w:rPr>
          <w:rStyle w:val="44"/>
          <w:rFonts w:hint="eastAsia" w:ascii="仿宋" w:hAnsi="仿宋" w:eastAsia="仿宋" w:cs="楷体"/>
          <w:kern w:val="0"/>
        </w:rPr>
        <w:t>评标原则</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_Toc151390375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"_Toc151390376" </w:instrText>
      </w:r>
      <w:r>
        <w:fldChar w:fldCharType="separate"/>
      </w:r>
      <w:r>
        <w:rPr>
          <w:rStyle w:val="44"/>
          <w:rFonts w:ascii="仿宋" w:hAnsi="仿宋" w:eastAsia="仿宋" w:cs="楷体"/>
          <w:kern w:val="0"/>
        </w:rPr>
        <w:t xml:space="preserve">2.6.3 </w:t>
      </w:r>
      <w:r>
        <w:rPr>
          <w:rStyle w:val="44"/>
          <w:rFonts w:hint="eastAsia" w:ascii="仿宋" w:hAnsi="仿宋" w:eastAsia="仿宋" w:cs="楷体"/>
          <w:kern w:val="0"/>
        </w:rPr>
        <w:t>评标方法</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_Toc151390376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"_Toc151390377" </w:instrText>
      </w:r>
      <w:r>
        <w:fldChar w:fldCharType="separate"/>
      </w:r>
      <w:r>
        <w:rPr>
          <w:rStyle w:val="44"/>
          <w:rFonts w:ascii="仿宋" w:hAnsi="仿宋" w:eastAsia="仿宋" w:cs="楷体"/>
          <w:bCs/>
          <w:kern w:val="0"/>
        </w:rPr>
        <w:t>2.7</w:t>
      </w:r>
      <w:r>
        <w:rPr>
          <w:rStyle w:val="44"/>
          <w:rFonts w:hint="eastAsia" w:ascii="仿宋" w:hAnsi="仿宋" w:eastAsia="仿宋" w:cs="楷体"/>
          <w:bCs/>
          <w:kern w:val="0"/>
        </w:rPr>
        <w:t>合同授予</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_Toc151390377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"_Toc151390378" </w:instrText>
      </w:r>
      <w:r>
        <w:fldChar w:fldCharType="separate"/>
      </w:r>
      <w:r>
        <w:rPr>
          <w:rStyle w:val="44"/>
          <w:rFonts w:ascii="仿宋" w:hAnsi="仿宋" w:eastAsia="仿宋" w:cs="楷体"/>
          <w:kern w:val="0"/>
        </w:rPr>
        <w:t>2.7.1</w:t>
      </w:r>
      <w:r>
        <w:rPr>
          <w:rStyle w:val="44"/>
          <w:rFonts w:hint="eastAsia" w:ascii="仿宋" w:hAnsi="仿宋" w:eastAsia="仿宋" w:cs="楷体"/>
          <w:kern w:val="0"/>
        </w:rPr>
        <w:t>行贿犯罪查询</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_Toc151390378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"_Toc151390379" </w:instrText>
      </w:r>
      <w:r>
        <w:fldChar w:fldCharType="separate"/>
      </w:r>
      <w:r>
        <w:rPr>
          <w:rStyle w:val="44"/>
          <w:rFonts w:ascii="仿宋" w:hAnsi="仿宋" w:eastAsia="仿宋" w:cs="楷体"/>
          <w:kern w:val="0"/>
        </w:rPr>
        <w:t xml:space="preserve">2.7.2 </w:t>
      </w:r>
      <w:r>
        <w:rPr>
          <w:rStyle w:val="44"/>
          <w:rFonts w:hint="eastAsia" w:ascii="仿宋" w:hAnsi="仿宋" w:eastAsia="仿宋" w:cs="楷体"/>
          <w:kern w:val="0"/>
        </w:rPr>
        <w:t>定标方式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_Toc151390379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"_Toc151390380" </w:instrText>
      </w:r>
      <w:r>
        <w:fldChar w:fldCharType="separate"/>
      </w:r>
      <w:r>
        <w:rPr>
          <w:rStyle w:val="44"/>
          <w:rFonts w:ascii="仿宋" w:hAnsi="仿宋" w:eastAsia="仿宋" w:cs="楷体"/>
          <w:kern w:val="0"/>
        </w:rPr>
        <w:t xml:space="preserve">2.7.3 </w:t>
      </w:r>
      <w:r>
        <w:rPr>
          <w:rStyle w:val="44"/>
          <w:rFonts w:hint="eastAsia" w:ascii="仿宋" w:hAnsi="仿宋" w:eastAsia="仿宋" w:cs="楷体"/>
          <w:kern w:val="0"/>
        </w:rPr>
        <w:t>中标通知</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_Toc151390380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"_Toc151390381" </w:instrText>
      </w:r>
      <w:r>
        <w:fldChar w:fldCharType="separate"/>
      </w:r>
      <w:r>
        <w:rPr>
          <w:rStyle w:val="44"/>
          <w:rFonts w:ascii="仿宋" w:hAnsi="仿宋" w:eastAsia="仿宋" w:cs="楷体"/>
          <w:kern w:val="0"/>
        </w:rPr>
        <w:t xml:space="preserve">2.7.4 </w:t>
      </w:r>
      <w:r>
        <w:rPr>
          <w:rStyle w:val="44"/>
          <w:rFonts w:hint="eastAsia" w:ascii="仿宋" w:hAnsi="仿宋" w:eastAsia="仿宋" w:cs="楷体"/>
          <w:kern w:val="0"/>
        </w:rPr>
        <w:t>履约担保</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_Toc151390381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"_Toc151390382" </w:instrText>
      </w:r>
      <w:r>
        <w:fldChar w:fldCharType="separate"/>
      </w:r>
      <w:r>
        <w:rPr>
          <w:rStyle w:val="44"/>
          <w:rFonts w:ascii="仿宋" w:hAnsi="仿宋" w:eastAsia="仿宋" w:cs="楷体"/>
          <w:kern w:val="0"/>
        </w:rPr>
        <w:t xml:space="preserve">2.7.5 </w:t>
      </w:r>
      <w:r>
        <w:rPr>
          <w:rStyle w:val="44"/>
          <w:rFonts w:hint="eastAsia" w:ascii="仿宋" w:hAnsi="仿宋" w:eastAsia="仿宋" w:cs="楷体"/>
          <w:kern w:val="0"/>
        </w:rPr>
        <w:t>签订合同</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_Toc151390382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"_Toc151390383" </w:instrText>
      </w:r>
      <w:r>
        <w:fldChar w:fldCharType="separate"/>
      </w:r>
      <w:r>
        <w:rPr>
          <w:rStyle w:val="44"/>
          <w:rFonts w:ascii="仿宋" w:hAnsi="仿宋" w:eastAsia="仿宋" w:cs="楷体"/>
          <w:bCs/>
          <w:kern w:val="0"/>
        </w:rPr>
        <w:t>2.8</w:t>
      </w:r>
      <w:r>
        <w:rPr>
          <w:rStyle w:val="44"/>
          <w:rFonts w:hint="eastAsia" w:ascii="仿宋" w:hAnsi="仿宋" w:eastAsia="仿宋" w:cs="楷体"/>
          <w:bCs/>
          <w:kern w:val="0"/>
        </w:rPr>
        <w:t>重新招标和不再招标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_Toc151390383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"_Toc151390384" </w:instrText>
      </w:r>
      <w:r>
        <w:fldChar w:fldCharType="separate"/>
      </w:r>
      <w:r>
        <w:rPr>
          <w:rStyle w:val="44"/>
          <w:rFonts w:ascii="仿宋" w:hAnsi="仿宋" w:eastAsia="仿宋"/>
          <w:bCs/>
          <w:kern w:val="0"/>
        </w:rPr>
        <w:t xml:space="preserve">2.8.1 </w:t>
      </w:r>
      <w:r>
        <w:rPr>
          <w:rStyle w:val="44"/>
          <w:rFonts w:hint="eastAsia" w:ascii="仿宋" w:hAnsi="仿宋" w:eastAsia="仿宋"/>
          <w:bCs/>
          <w:kern w:val="0"/>
        </w:rPr>
        <w:t>重新招标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_Toc151390384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"_Toc151390385" </w:instrText>
      </w:r>
      <w:r>
        <w:fldChar w:fldCharType="separate"/>
      </w:r>
      <w:r>
        <w:rPr>
          <w:rStyle w:val="44"/>
          <w:rFonts w:ascii="仿宋" w:hAnsi="仿宋" w:eastAsia="仿宋"/>
          <w:bCs/>
          <w:kern w:val="0"/>
        </w:rPr>
        <w:t xml:space="preserve">2.8.2 </w:t>
      </w:r>
      <w:r>
        <w:rPr>
          <w:rStyle w:val="44"/>
          <w:rFonts w:hint="eastAsia" w:ascii="仿宋" w:hAnsi="仿宋" w:eastAsia="仿宋"/>
          <w:bCs/>
          <w:kern w:val="0"/>
        </w:rPr>
        <w:t>不再招标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_Toc151390385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"_Toc151390386" </w:instrText>
      </w:r>
      <w:r>
        <w:fldChar w:fldCharType="separate"/>
      </w:r>
      <w:r>
        <w:rPr>
          <w:rStyle w:val="44"/>
          <w:rFonts w:ascii="仿宋" w:hAnsi="仿宋" w:eastAsia="仿宋"/>
          <w:bCs/>
          <w:kern w:val="0"/>
        </w:rPr>
        <w:t xml:space="preserve">2.8.3 </w:t>
      </w:r>
      <w:r>
        <w:rPr>
          <w:rStyle w:val="44"/>
          <w:rFonts w:hint="eastAsia" w:ascii="仿宋" w:hAnsi="仿宋" w:eastAsia="仿宋"/>
          <w:bCs/>
          <w:kern w:val="0"/>
        </w:rPr>
        <w:t>转为竞争性谈判</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_Toc151390386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"_Toc151390387" </w:instrText>
      </w:r>
      <w:r>
        <w:fldChar w:fldCharType="separate"/>
      </w:r>
      <w:r>
        <w:rPr>
          <w:rStyle w:val="44"/>
          <w:rFonts w:ascii="仿宋" w:hAnsi="仿宋" w:eastAsia="仿宋" w:cs="楷体"/>
          <w:bCs/>
          <w:kern w:val="0"/>
        </w:rPr>
        <w:t>2.9</w:t>
      </w:r>
      <w:r>
        <w:rPr>
          <w:rStyle w:val="44"/>
          <w:rFonts w:hint="eastAsia" w:ascii="仿宋" w:hAnsi="仿宋" w:eastAsia="仿宋" w:cs="楷体"/>
          <w:bCs/>
          <w:kern w:val="0"/>
        </w:rPr>
        <w:t>纪律和监督</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_Toc151390387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"_Toc151390388" </w:instrText>
      </w:r>
      <w:r>
        <w:fldChar w:fldCharType="separate"/>
      </w:r>
      <w:r>
        <w:rPr>
          <w:rStyle w:val="44"/>
          <w:rFonts w:ascii="仿宋" w:hAnsi="仿宋" w:eastAsia="仿宋" w:cs="楷体"/>
          <w:kern w:val="0"/>
        </w:rPr>
        <w:t xml:space="preserve">2.9.1 </w:t>
      </w:r>
      <w:r>
        <w:rPr>
          <w:rStyle w:val="44"/>
          <w:rFonts w:hint="eastAsia" w:ascii="仿宋" w:hAnsi="仿宋" w:eastAsia="仿宋" w:cs="楷体"/>
          <w:kern w:val="0"/>
        </w:rPr>
        <w:t>对招标人的纪律要求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_Toc151390388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"_Toc151390389" </w:instrText>
      </w:r>
      <w:r>
        <w:fldChar w:fldCharType="separate"/>
      </w:r>
      <w:r>
        <w:rPr>
          <w:rStyle w:val="44"/>
          <w:rFonts w:ascii="仿宋" w:hAnsi="仿宋" w:eastAsia="仿宋" w:cs="楷体"/>
          <w:kern w:val="0"/>
        </w:rPr>
        <w:t xml:space="preserve">2.9.2 </w:t>
      </w:r>
      <w:r>
        <w:rPr>
          <w:rStyle w:val="44"/>
          <w:rFonts w:hint="eastAsia" w:ascii="仿宋" w:hAnsi="仿宋" w:eastAsia="仿宋" w:cs="楷体"/>
          <w:kern w:val="0"/>
        </w:rPr>
        <w:t>对投标人的纪律要求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_Toc151390389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"_Toc151390390" </w:instrText>
      </w:r>
      <w:r>
        <w:fldChar w:fldCharType="separate"/>
      </w:r>
      <w:r>
        <w:rPr>
          <w:rStyle w:val="44"/>
          <w:rFonts w:ascii="仿宋" w:hAnsi="仿宋" w:eastAsia="仿宋" w:cs="楷体"/>
          <w:kern w:val="0"/>
        </w:rPr>
        <w:t xml:space="preserve">2.9.3 </w:t>
      </w:r>
      <w:r>
        <w:rPr>
          <w:rStyle w:val="44"/>
          <w:rFonts w:hint="eastAsia" w:ascii="仿宋" w:hAnsi="仿宋" w:eastAsia="仿宋" w:cs="楷体"/>
          <w:kern w:val="0"/>
        </w:rPr>
        <w:t>对评标委员会成员的纪律要求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_Toc151390390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"_Toc151390391" </w:instrText>
      </w:r>
      <w:r>
        <w:fldChar w:fldCharType="separate"/>
      </w:r>
      <w:r>
        <w:rPr>
          <w:rStyle w:val="44"/>
          <w:rFonts w:ascii="仿宋" w:hAnsi="仿宋" w:eastAsia="仿宋" w:cs="楷体"/>
          <w:kern w:val="0"/>
        </w:rPr>
        <w:t xml:space="preserve">2.9.4 </w:t>
      </w:r>
      <w:r>
        <w:rPr>
          <w:rStyle w:val="44"/>
          <w:rFonts w:hint="eastAsia" w:ascii="仿宋" w:hAnsi="仿宋" w:eastAsia="仿宋" w:cs="楷体"/>
          <w:kern w:val="0"/>
        </w:rPr>
        <w:t>对与评标活动有关的工作人员的纪律要求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_Toc151390391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5"/>
        <w:tabs>
          <w:tab w:val="right" w:leader="dot" w:pos="9060"/>
        </w:tabs>
        <w:rPr>
          <w:rFonts w:ascii="仿宋" w:hAnsi="仿宋" w:eastAsia="仿宋" w:cstheme="minorBidi"/>
          <w:szCs w:val="22"/>
        </w:rPr>
      </w:pPr>
      <w:r>
        <w:fldChar w:fldCharType="begin"/>
      </w:r>
      <w:r>
        <w:instrText xml:space="preserve"> HYPERLINK \l "_Toc151390392" </w:instrText>
      </w:r>
      <w:r>
        <w:fldChar w:fldCharType="separate"/>
      </w:r>
      <w:r>
        <w:rPr>
          <w:rStyle w:val="44"/>
          <w:rFonts w:ascii="仿宋" w:hAnsi="仿宋" w:eastAsia="仿宋" w:cs="楷体"/>
          <w:kern w:val="0"/>
        </w:rPr>
        <w:t xml:space="preserve">2.9.5 </w:t>
      </w:r>
      <w:r>
        <w:rPr>
          <w:rStyle w:val="44"/>
          <w:rFonts w:hint="eastAsia" w:ascii="仿宋" w:hAnsi="仿宋" w:eastAsia="仿宋" w:cs="楷体"/>
          <w:kern w:val="0"/>
        </w:rPr>
        <w:t>投诉</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_Toc151390392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"_Toc151390393" </w:instrText>
      </w:r>
      <w:r>
        <w:fldChar w:fldCharType="separate"/>
      </w:r>
      <w:r>
        <w:rPr>
          <w:rStyle w:val="44"/>
          <w:rFonts w:ascii="仿宋" w:hAnsi="仿宋" w:eastAsia="仿宋" w:cs="楷体"/>
          <w:bCs/>
          <w:kern w:val="0"/>
        </w:rPr>
        <w:t>2.10</w:t>
      </w:r>
      <w:r>
        <w:rPr>
          <w:rStyle w:val="44"/>
          <w:rFonts w:hint="eastAsia" w:ascii="仿宋" w:hAnsi="仿宋" w:eastAsia="仿宋" w:cs="楷体"/>
          <w:bCs/>
          <w:kern w:val="0"/>
        </w:rPr>
        <w:t>是否采用电子招标投标</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_Toc151390393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"_Toc151390394" </w:instrText>
      </w:r>
      <w:r>
        <w:fldChar w:fldCharType="separate"/>
      </w:r>
      <w:r>
        <w:rPr>
          <w:rStyle w:val="44"/>
          <w:rFonts w:ascii="仿宋" w:hAnsi="仿宋" w:eastAsia="仿宋" w:cs="楷体"/>
          <w:bCs/>
          <w:kern w:val="0"/>
        </w:rPr>
        <w:t>2.11</w:t>
      </w:r>
      <w:r>
        <w:rPr>
          <w:rStyle w:val="44"/>
          <w:rFonts w:hint="eastAsia" w:ascii="仿宋" w:hAnsi="仿宋" w:eastAsia="仿宋" w:cs="楷体"/>
          <w:bCs/>
          <w:kern w:val="0"/>
        </w:rPr>
        <w:t>需要补充的其他内容</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_Toc151390394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23"/>
        <w:tabs>
          <w:tab w:val="right" w:leader="dot" w:pos="9060"/>
        </w:tabs>
        <w:rPr>
          <w:rFonts w:ascii="仿宋" w:hAnsi="仿宋" w:eastAsia="仿宋" w:cstheme="minorBidi"/>
          <w:szCs w:val="22"/>
        </w:rPr>
      </w:pPr>
      <w:r>
        <w:fldChar w:fldCharType="begin"/>
      </w:r>
      <w:r>
        <w:instrText xml:space="preserve"> HYPERLINK \l "_Toc151390395" </w:instrText>
      </w:r>
      <w:r>
        <w:fldChar w:fldCharType="separate"/>
      </w:r>
      <w:r>
        <w:rPr>
          <w:rStyle w:val="44"/>
          <w:rFonts w:hint="eastAsia" w:ascii="仿宋" w:hAnsi="仿宋" w:eastAsia="仿宋" w:cs="楷体"/>
          <w:bCs/>
          <w:kern w:val="44"/>
        </w:rPr>
        <w:t>第三章</w:t>
      </w:r>
      <w:r>
        <w:rPr>
          <w:rStyle w:val="44"/>
          <w:rFonts w:ascii="仿宋" w:hAnsi="仿宋" w:eastAsia="仿宋" w:cs="楷体"/>
          <w:bCs/>
          <w:kern w:val="44"/>
        </w:rPr>
        <w:t xml:space="preserve">  </w:t>
      </w:r>
      <w:r>
        <w:rPr>
          <w:rStyle w:val="44"/>
          <w:rFonts w:hint="eastAsia" w:ascii="仿宋" w:hAnsi="仿宋" w:eastAsia="仿宋" w:cs="楷体"/>
          <w:bCs/>
          <w:kern w:val="44"/>
        </w:rPr>
        <w:t>评标办法（综合评估法）</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_Toc151390395 \h </w:instrText>
      </w:r>
      <w:r>
        <w:rPr>
          <w:rFonts w:ascii="仿宋" w:hAnsi="仿宋" w:eastAsia="仿宋"/>
        </w:rPr>
        <w:fldChar w:fldCharType="separate"/>
      </w:r>
      <w:r>
        <w:rPr>
          <w:rFonts w:ascii="仿宋" w:hAnsi="仿宋" w:eastAsia="仿宋"/>
        </w:rPr>
        <w:t>20</w:t>
      </w:r>
      <w:r>
        <w:rPr>
          <w:rFonts w:ascii="仿宋" w:hAnsi="仿宋" w:eastAsia="仿宋"/>
        </w:rPr>
        <w:fldChar w:fldCharType="end"/>
      </w:r>
      <w:r>
        <w:rPr>
          <w:rFonts w:ascii="仿宋" w:hAnsi="仿宋" w:eastAsia="仿宋"/>
        </w:rPr>
        <w:fldChar w:fldCharType="end"/>
      </w:r>
    </w:p>
    <w:p>
      <w:pPr>
        <w:pStyle w:val="23"/>
        <w:tabs>
          <w:tab w:val="right" w:leader="dot" w:pos="9060"/>
        </w:tabs>
        <w:rPr>
          <w:rFonts w:ascii="仿宋" w:hAnsi="仿宋" w:eastAsia="仿宋" w:cstheme="minorBidi"/>
          <w:szCs w:val="22"/>
        </w:rPr>
      </w:pPr>
      <w:r>
        <w:fldChar w:fldCharType="begin"/>
      </w:r>
      <w:r>
        <w:instrText xml:space="preserve"> HYPERLINK \l "_Toc151390396" </w:instrText>
      </w:r>
      <w:r>
        <w:fldChar w:fldCharType="separate"/>
      </w:r>
      <w:r>
        <w:rPr>
          <w:rStyle w:val="44"/>
          <w:rFonts w:hint="eastAsia" w:ascii="仿宋" w:hAnsi="仿宋" w:eastAsia="仿宋"/>
        </w:rPr>
        <w:t>第四章</w:t>
      </w:r>
      <w:r>
        <w:rPr>
          <w:rStyle w:val="44"/>
          <w:rFonts w:ascii="仿宋" w:hAnsi="仿宋" w:eastAsia="仿宋"/>
        </w:rPr>
        <w:t xml:space="preserve">  </w:t>
      </w:r>
      <w:r>
        <w:rPr>
          <w:rStyle w:val="44"/>
          <w:rFonts w:hint="eastAsia" w:ascii="仿宋" w:hAnsi="仿宋" w:eastAsia="仿宋"/>
        </w:rPr>
        <w:t>合同及附件</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_Toc151390396 \h </w:instrText>
      </w:r>
      <w:r>
        <w:rPr>
          <w:rFonts w:ascii="仿宋" w:hAnsi="仿宋" w:eastAsia="仿宋"/>
        </w:rPr>
        <w:fldChar w:fldCharType="separate"/>
      </w:r>
      <w:r>
        <w:rPr>
          <w:rFonts w:ascii="仿宋" w:hAnsi="仿宋" w:eastAsia="仿宋"/>
        </w:rPr>
        <w:t>27</w:t>
      </w:r>
      <w:r>
        <w:rPr>
          <w:rFonts w:ascii="仿宋" w:hAnsi="仿宋" w:eastAsia="仿宋"/>
        </w:rPr>
        <w:fldChar w:fldCharType="end"/>
      </w:r>
      <w:r>
        <w:rPr>
          <w:rFonts w:ascii="仿宋" w:hAnsi="仿宋" w:eastAsia="仿宋"/>
        </w:rPr>
        <w:fldChar w:fldCharType="end"/>
      </w:r>
    </w:p>
    <w:p>
      <w:pPr>
        <w:pStyle w:val="23"/>
        <w:tabs>
          <w:tab w:val="right" w:leader="dot" w:pos="9060"/>
        </w:tabs>
        <w:rPr>
          <w:rFonts w:ascii="仿宋" w:hAnsi="仿宋" w:eastAsia="仿宋" w:cstheme="minorBidi"/>
          <w:szCs w:val="22"/>
        </w:rPr>
      </w:pPr>
      <w:r>
        <w:fldChar w:fldCharType="begin"/>
      </w:r>
      <w:r>
        <w:instrText xml:space="preserve"> HYPERLINK \l "_Toc151390397" </w:instrText>
      </w:r>
      <w:r>
        <w:fldChar w:fldCharType="separate"/>
      </w:r>
      <w:r>
        <w:rPr>
          <w:rStyle w:val="44"/>
          <w:rFonts w:hint="eastAsia" w:ascii="仿宋" w:hAnsi="仿宋" w:eastAsia="仿宋"/>
        </w:rPr>
        <w:t>第五章</w:t>
      </w:r>
      <w:r>
        <w:rPr>
          <w:rStyle w:val="44"/>
          <w:rFonts w:ascii="仿宋" w:hAnsi="仿宋" w:eastAsia="仿宋"/>
        </w:rPr>
        <w:t xml:space="preserve">  </w:t>
      </w:r>
      <w:r>
        <w:rPr>
          <w:rStyle w:val="44"/>
          <w:rFonts w:hint="eastAsia" w:ascii="仿宋" w:hAnsi="仿宋" w:eastAsia="仿宋"/>
        </w:rPr>
        <w:t>投标文件格式及内容</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_Toc151390397 \h </w:instrText>
      </w:r>
      <w:r>
        <w:rPr>
          <w:rFonts w:ascii="仿宋" w:hAnsi="仿宋" w:eastAsia="仿宋"/>
        </w:rPr>
        <w:fldChar w:fldCharType="separate"/>
      </w:r>
      <w:r>
        <w:rPr>
          <w:rFonts w:ascii="仿宋" w:hAnsi="仿宋" w:eastAsia="仿宋"/>
        </w:rPr>
        <w:t>53</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"_Toc151390398" </w:instrText>
      </w:r>
      <w:r>
        <w:fldChar w:fldCharType="separate"/>
      </w:r>
      <w:r>
        <w:rPr>
          <w:rStyle w:val="44"/>
          <w:rFonts w:hint="eastAsia" w:ascii="仿宋" w:hAnsi="仿宋" w:eastAsia="仿宋"/>
        </w:rPr>
        <w:t>投标人资格条件自查表</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_Toc151390398 \h </w:instrText>
      </w:r>
      <w:r>
        <w:rPr>
          <w:rFonts w:ascii="仿宋" w:hAnsi="仿宋" w:eastAsia="仿宋"/>
        </w:rPr>
        <w:fldChar w:fldCharType="separate"/>
      </w:r>
      <w:r>
        <w:rPr>
          <w:rFonts w:ascii="仿宋" w:hAnsi="仿宋" w:eastAsia="仿宋"/>
        </w:rPr>
        <w:t>55</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"_Toc151390399" </w:instrText>
      </w:r>
      <w:r>
        <w:fldChar w:fldCharType="separate"/>
      </w:r>
      <w:r>
        <w:rPr>
          <w:rStyle w:val="44"/>
          <w:rFonts w:hint="eastAsia" w:ascii="仿宋" w:hAnsi="仿宋" w:eastAsia="仿宋" w:cs="宋体"/>
          <w:kern w:val="0"/>
          <w:lang w:bidi="ar"/>
        </w:rPr>
        <w:t>（一）投标函格式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_Toc151390399 \h </w:instrText>
      </w:r>
      <w:r>
        <w:rPr>
          <w:rFonts w:ascii="仿宋" w:hAnsi="仿宋" w:eastAsia="仿宋"/>
        </w:rPr>
        <w:fldChar w:fldCharType="separate"/>
      </w:r>
      <w:r>
        <w:rPr>
          <w:rFonts w:ascii="仿宋" w:hAnsi="仿宋" w:eastAsia="仿宋"/>
        </w:rPr>
        <w:t>57</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"_Toc151390400" </w:instrText>
      </w:r>
      <w:r>
        <w:fldChar w:fldCharType="separate"/>
      </w:r>
      <w:r>
        <w:rPr>
          <w:rStyle w:val="44"/>
          <w:rFonts w:hint="eastAsia" w:ascii="仿宋" w:hAnsi="仿宋" w:eastAsia="仿宋" w:cs="宋体"/>
          <w:kern w:val="0"/>
          <w:lang w:bidi="ar"/>
        </w:rPr>
        <w:t>（二）法定代表人证明书格式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_Toc151390400 \h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"_Toc151390401" </w:instrText>
      </w:r>
      <w:r>
        <w:fldChar w:fldCharType="separate"/>
      </w:r>
      <w:r>
        <w:rPr>
          <w:rStyle w:val="44"/>
          <w:rFonts w:hint="eastAsia" w:ascii="仿宋" w:hAnsi="仿宋" w:eastAsia="仿宋" w:cs="宋体"/>
          <w:kern w:val="0"/>
          <w:lang w:bidi="ar"/>
        </w:rPr>
        <w:t>（三）法定代表人授权书格式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_Toc151390401 \h </w:instrText>
      </w:r>
      <w:r>
        <w:rPr>
          <w:rFonts w:ascii="仿宋" w:hAnsi="仿宋" w:eastAsia="仿宋"/>
        </w:rPr>
        <w:fldChar w:fldCharType="separate"/>
      </w:r>
      <w:r>
        <w:rPr>
          <w:rFonts w:ascii="仿宋" w:hAnsi="仿宋" w:eastAsia="仿宋"/>
        </w:rPr>
        <w:t>59</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"_Toc151390402" </w:instrText>
      </w:r>
      <w:r>
        <w:fldChar w:fldCharType="separate"/>
      </w:r>
      <w:r>
        <w:rPr>
          <w:rStyle w:val="44"/>
          <w:rFonts w:hint="eastAsia" w:ascii="仿宋" w:hAnsi="仿宋" w:eastAsia="仿宋" w:cs="宋体"/>
          <w:kern w:val="0"/>
          <w:lang w:bidi="ar"/>
        </w:rPr>
        <w:t>（四）投标人公司简介（人员、场地、营业额、业绩、客户群体等介绍）</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_Toc151390402 \h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"_Toc151390403" </w:instrText>
      </w:r>
      <w:r>
        <w:fldChar w:fldCharType="separate"/>
      </w:r>
      <w:r>
        <w:rPr>
          <w:rStyle w:val="44"/>
          <w:rFonts w:hint="eastAsia" w:ascii="仿宋" w:hAnsi="仿宋" w:eastAsia="仿宋" w:cs="宋体"/>
          <w:kern w:val="0"/>
          <w:lang w:bidi="ar"/>
        </w:rPr>
        <w:t>（五）企业基本证件复印件及道路运输许可证等相关资质证明</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_Toc151390403 \h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"_Toc151390404" </w:instrText>
      </w:r>
      <w:r>
        <w:fldChar w:fldCharType="separate"/>
      </w:r>
      <w:r>
        <w:rPr>
          <w:rStyle w:val="44"/>
          <w:rFonts w:hint="eastAsia" w:ascii="仿宋" w:hAnsi="仿宋" w:eastAsia="仿宋" w:cs="宋体"/>
          <w:kern w:val="0"/>
          <w:lang w:bidi="ar"/>
        </w:rPr>
        <w:t>（六）报价函格式</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_Toc151390404 \h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"_Toc151390405" </w:instrText>
      </w:r>
      <w:r>
        <w:fldChar w:fldCharType="separate"/>
      </w:r>
      <w:r>
        <w:rPr>
          <w:rStyle w:val="44"/>
          <w:rFonts w:hint="eastAsia" w:ascii="仿宋" w:hAnsi="仿宋" w:eastAsia="仿宋"/>
        </w:rPr>
        <w:t>（七）承诺函</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_Toc151390405 \h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fldChar w:fldCharType="end"/>
      </w:r>
    </w:p>
    <w:p>
      <w:pPr>
        <w:pStyle w:val="28"/>
        <w:tabs>
          <w:tab w:val="right" w:leader="dot" w:pos="9060"/>
        </w:tabs>
        <w:rPr>
          <w:rFonts w:ascii="仿宋" w:hAnsi="仿宋" w:eastAsia="仿宋" w:cstheme="minorBidi"/>
          <w:szCs w:val="22"/>
        </w:rPr>
      </w:pPr>
      <w:r>
        <w:fldChar w:fldCharType="begin"/>
      </w:r>
      <w:r>
        <w:instrText xml:space="preserve"> HYPERLINK \l "_Toc151390406" </w:instrText>
      </w:r>
      <w:r>
        <w:fldChar w:fldCharType="separate"/>
      </w:r>
      <w:r>
        <w:rPr>
          <w:rStyle w:val="44"/>
          <w:rFonts w:hint="eastAsia" w:ascii="仿宋" w:hAnsi="仿宋" w:eastAsia="仿宋"/>
        </w:rPr>
        <w:t>（八）投标人认为应补充的其他资料</w:t>
      </w:r>
      <w:r>
        <w:rPr>
          <w:rFonts w:ascii="仿宋" w:hAnsi="仿宋" w:eastAsia="仿宋"/>
        </w:rPr>
        <w:tab/>
      </w:r>
      <w:r>
        <w:rPr>
          <w:rFonts w:ascii="仿宋" w:hAnsi="仿宋" w:eastAsia="仿宋"/>
        </w:rPr>
        <w:fldChar w:fldCharType="begin"/>
      </w:r>
      <w:r>
        <w:rPr>
          <w:rFonts w:ascii="仿宋" w:hAnsi="仿宋" w:eastAsia="仿宋"/>
        </w:rPr>
        <w:instrText xml:space="preserve"> PAGEREF _Toc151390406 \h </w:instrText>
      </w:r>
      <w:r>
        <w:rPr>
          <w:rFonts w:ascii="仿宋" w:hAnsi="仿宋" w:eastAsia="仿宋"/>
        </w:rPr>
        <w:fldChar w:fldCharType="separate"/>
      </w:r>
      <w:r>
        <w:rPr>
          <w:rFonts w:ascii="仿宋" w:hAnsi="仿宋" w:eastAsia="仿宋"/>
        </w:rPr>
        <w:t>73</w:t>
      </w:r>
      <w:r>
        <w:rPr>
          <w:rFonts w:ascii="仿宋" w:hAnsi="仿宋" w:eastAsia="仿宋"/>
        </w:rPr>
        <w:fldChar w:fldCharType="end"/>
      </w:r>
      <w:r>
        <w:rPr>
          <w:rFonts w:ascii="仿宋" w:hAnsi="仿宋" w:eastAsia="仿宋"/>
        </w:rPr>
        <w:fldChar w:fldCharType="end"/>
      </w:r>
    </w:p>
    <w:p>
      <w:pPr>
        <w:pStyle w:val="13"/>
        <w:tabs>
          <w:tab w:val="right" w:leader="dot" w:pos="9060"/>
        </w:tabs>
      </w:pPr>
      <w:r>
        <w:rPr>
          <w:rFonts w:hint="eastAsia" w:ascii="仿宋" w:hAnsi="仿宋" w:eastAsia="仿宋" w:cs="仿宋"/>
        </w:rPr>
        <w:fldChar w:fldCharType="end"/>
      </w:r>
    </w:p>
    <w:p>
      <w:pPr>
        <w:jc w:val="center"/>
        <w:rPr>
          <w:sz w:val="32"/>
          <w:szCs w:val="32"/>
        </w:rPr>
      </w:pPr>
    </w:p>
    <w:p/>
    <w:p/>
    <w:p>
      <w:pPr>
        <w:sectPr>
          <w:pgSz w:w="11906" w:h="16838"/>
          <w:pgMar w:top="1701" w:right="1418" w:bottom="1418" w:left="1418" w:header="851" w:footer="992" w:gutter="0"/>
          <w:cols w:space="720" w:num="1"/>
          <w:docGrid w:type="lines" w:linePitch="312" w:charSpace="0"/>
        </w:sectPr>
      </w:pPr>
    </w:p>
    <w:bookmarkEnd w:id="0"/>
    <w:bookmarkEnd w:id="1"/>
    <w:p>
      <w:pPr>
        <w:pStyle w:val="3"/>
        <w:rPr>
          <w:color w:val="auto"/>
        </w:rPr>
      </w:pPr>
      <w:bookmarkStart w:id="4" w:name="_Toc151390329"/>
      <w:r>
        <w:rPr>
          <w:rFonts w:hint="eastAsia"/>
          <w:color w:val="auto"/>
        </w:rPr>
        <w:t>第一章  招标公告</w:t>
      </w:r>
      <w:bookmarkEnd w:id="4"/>
    </w:p>
    <w:p>
      <w:pPr>
        <w:spacing w:line="400" w:lineRule="exact"/>
        <w:ind w:firstLine="482" w:firstLineChars="200"/>
        <w:jc w:val="center"/>
        <w:rPr>
          <w:rFonts w:ascii="仿宋" w:hAnsi="仿宋" w:eastAsia="仿宋"/>
          <w:b/>
          <w:bCs/>
          <w:sz w:val="30"/>
          <w:szCs w:val="30"/>
        </w:rPr>
      </w:pPr>
      <w:r>
        <w:rPr>
          <w:rFonts w:hint="eastAsia" w:ascii="仿宋" w:hAnsi="仿宋" w:eastAsia="仿宋" w:cs="Arial"/>
          <w:b/>
          <w:bCs/>
          <w:kern w:val="0"/>
          <w:sz w:val="24"/>
        </w:rPr>
        <w:t>招标编号：</w:t>
      </w:r>
      <w:r>
        <w:rPr>
          <w:rFonts w:hint="eastAsia" w:ascii="仿宋" w:hAnsi="仿宋" w:eastAsia="仿宋" w:cs="Arial"/>
          <w:b/>
          <w:bCs/>
          <w:kern w:val="0"/>
          <w:sz w:val="24"/>
          <w:lang w:val="zh-CN"/>
        </w:rPr>
        <w:t>TCMC-WL20231101</w:t>
      </w:r>
    </w:p>
    <w:p>
      <w:pPr>
        <w:pStyle w:val="2"/>
      </w:pPr>
      <w:bookmarkStart w:id="5" w:name="_Toc151390330"/>
      <w:r>
        <w:rPr>
          <w:rFonts w:hint="eastAsia"/>
        </w:rPr>
        <w:t>一、招标条件</w:t>
      </w:r>
      <w:bookmarkEnd w:id="5"/>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四川天成明超电缆有限公司（以下简称“天成明超电缆”）是一家专业生产和销售电线电缆和成套电气化设备的大型现代化企业，现以公开招标方式采购2024年度物流运输服务，采购服务使用自筹资金用于本次招标后所签订合同的支付。</w:t>
      </w:r>
    </w:p>
    <w:p>
      <w:pPr>
        <w:pStyle w:val="2"/>
      </w:pPr>
      <w:bookmarkStart w:id="6" w:name="_Toc151390331"/>
      <w:r>
        <w:rPr>
          <w:rFonts w:hint="eastAsia"/>
        </w:rPr>
        <w:t>二、项目概况、招标范围</w:t>
      </w:r>
      <w:bookmarkEnd w:id="6"/>
    </w:p>
    <w:p>
      <w:pPr>
        <w:widowControl/>
        <w:spacing w:line="360" w:lineRule="auto"/>
        <w:ind w:firstLine="480" w:firstLineChars="200"/>
        <w:rPr>
          <w:rFonts w:ascii="仿宋" w:hAnsi="仿宋" w:eastAsia="仿宋"/>
          <w:sz w:val="24"/>
        </w:rPr>
      </w:pPr>
      <w:r>
        <w:rPr>
          <w:rFonts w:hint="eastAsia" w:ascii="仿宋" w:hAnsi="仿宋" w:eastAsia="仿宋"/>
          <w:sz w:val="24"/>
        </w:rPr>
        <w:t>1、项目概况：四川天成明超电缆有限公司成立于2022年3月，立足于富有“天府之国”美称的成都。公司总部位于四川省成都市邛崃市天府新区半导体材料产业功能区，集成办公、运营、研发、结算等功能，生产基地以铜质原料生产绿色能源新材料，主要产品包括光伏电缆、储能电缆、轨道交通电缆、SG通信电源电缆、半导体电缆、特高压电缆等。公司注册资本 7.39 亿，计划总投资40亿元，其中固定资产投资15亿元，总占地面积600余亩，预计年产值将超二百亿元。</w:t>
      </w:r>
    </w:p>
    <w:p>
      <w:pPr>
        <w:widowControl/>
        <w:spacing w:line="360" w:lineRule="auto"/>
        <w:ind w:firstLine="480" w:firstLineChars="200"/>
        <w:rPr>
          <w:rFonts w:ascii="仿宋_GB2312" w:hAnsi="仿宋" w:eastAsia="仿宋_GB2312" w:cs="仿宋"/>
          <w:kern w:val="0"/>
          <w:sz w:val="24"/>
        </w:rPr>
      </w:pPr>
      <w:r>
        <w:rPr>
          <w:rFonts w:hint="eastAsia" w:ascii="仿宋_GB2312" w:hAnsi="仿宋" w:eastAsia="仿宋_GB2312" w:cs="仿宋"/>
          <w:kern w:val="0"/>
          <w:sz w:val="24"/>
        </w:rPr>
        <w:t>2、招标范围：根据运输范围，共分为</w:t>
      </w:r>
      <w:r>
        <w:rPr>
          <w:rFonts w:hint="eastAsia" w:ascii="仿宋_GB2312" w:hAnsi="仿宋" w:eastAsia="仿宋_GB2312" w:cs="仿宋"/>
          <w:b/>
          <w:bCs/>
          <w:kern w:val="0"/>
          <w:sz w:val="24"/>
          <w:lang w:eastAsia="zh-CN"/>
        </w:rPr>
        <w:t>六</w:t>
      </w:r>
      <w:bookmarkStart w:id="379" w:name="_GoBack"/>
      <w:bookmarkEnd w:id="379"/>
      <w:r>
        <w:rPr>
          <w:rFonts w:hint="eastAsia" w:ascii="仿宋_GB2312" w:hAnsi="仿宋" w:eastAsia="仿宋_GB2312" w:cs="仿宋"/>
          <w:b/>
          <w:bCs/>
          <w:kern w:val="0"/>
          <w:sz w:val="24"/>
        </w:rPr>
        <w:t>个标段</w:t>
      </w:r>
      <w:r>
        <w:rPr>
          <w:rFonts w:hint="eastAsia" w:ascii="仿宋_GB2312" w:hAnsi="仿宋" w:eastAsia="仿宋_GB2312" w:cs="仿宋"/>
          <w:kern w:val="0"/>
          <w:sz w:val="24"/>
        </w:rPr>
        <w:t>：</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标段一</w:t>
      </w:r>
      <w:r>
        <w:rPr>
          <w:rFonts w:hint="eastAsia" w:ascii="仿宋" w:hAnsi="仿宋" w:eastAsia="仿宋" w:cs="仿宋"/>
          <w:sz w:val="24"/>
        </w:rPr>
        <w:t xml:space="preserve"> 华南：包括广西省、广东省、海南省。</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标段二</w:t>
      </w:r>
      <w:r>
        <w:rPr>
          <w:rFonts w:hint="eastAsia" w:ascii="仿宋" w:hAnsi="仿宋" w:eastAsia="仿宋" w:cs="仿宋"/>
          <w:sz w:val="24"/>
        </w:rPr>
        <w:t xml:space="preserve"> 华中：包括河南省、湖北省、湖南省。</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标段三</w:t>
      </w:r>
      <w:r>
        <w:rPr>
          <w:rFonts w:hint="eastAsia" w:ascii="仿宋" w:hAnsi="仿宋" w:eastAsia="仿宋" w:cs="仿宋"/>
          <w:sz w:val="24"/>
        </w:rPr>
        <w:t xml:space="preserve"> 华北：包括北京市、河北省、山西省、内蒙古自治区。</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标段四</w:t>
      </w:r>
      <w:r>
        <w:rPr>
          <w:rFonts w:hint="eastAsia" w:ascii="仿宋" w:hAnsi="仿宋" w:eastAsia="仿宋" w:cs="仿宋"/>
          <w:sz w:val="24"/>
        </w:rPr>
        <w:t xml:space="preserve"> 西北：包括陕西省、宁夏回族自治区、甘肃省、青海省、新疆维吾尔族自治区。</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 xml:space="preserve">标段五 </w:t>
      </w:r>
      <w:r>
        <w:rPr>
          <w:rFonts w:hint="eastAsia" w:ascii="仿宋" w:hAnsi="仿宋" w:eastAsia="仿宋" w:cs="仿宋"/>
          <w:sz w:val="24"/>
        </w:rPr>
        <w:t>西南：包括四川省、重庆市、云南省、贵州省和西藏自治区。</w:t>
      </w:r>
    </w:p>
    <w:p>
      <w:pPr>
        <w:adjustRightInd w:val="0"/>
        <w:snapToGrid w:val="0"/>
        <w:spacing w:line="360" w:lineRule="auto"/>
        <w:ind w:left="480"/>
        <w:rPr>
          <w:rFonts w:hint="eastAsia" w:ascii="仿宋" w:hAnsi="仿宋" w:eastAsia="仿宋" w:cs="仿宋"/>
          <w:sz w:val="24"/>
        </w:rPr>
      </w:pPr>
      <w:r>
        <w:rPr>
          <w:rFonts w:hint="eastAsia" w:ascii="仿宋" w:hAnsi="仿宋" w:eastAsia="仿宋" w:cs="仿宋"/>
          <w:b/>
          <w:bCs/>
          <w:sz w:val="24"/>
        </w:rPr>
        <w:t xml:space="preserve">标段六 </w:t>
      </w:r>
      <w:r>
        <w:rPr>
          <w:rFonts w:hint="eastAsia" w:ascii="仿宋" w:hAnsi="仿宋" w:eastAsia="仿宋" w:cs="仿宋"/>
          <w:sz w:val="24"/>
        </w:rPr>
        <w:t>华东</w:t>
      </w:r>
      <w:r>
        <w:rPr>
          <w:rFonts w:hint="eastAsia" w:ascii="仿宋" w:hAnsi="仿宋" w:eastAsia="仿宋" w:cs="仿宋"/>
          <w:b/>
          <w:bCs/>
          <w:sz w:val="24"/>
        </w:rPr>
        <w:t>：</w:t>
      </w:r>
      <w:r>
        <w:rPr>
          <w:rFonts w:hint="eastAsia" w:ascii="仿宋" w:hAnsi="仿宋" w:eastAsia="仿宋" w:cs="仿宋"/>
          <w:sz w:val="24"/>
        </w:rPr>
        <w:t>山东省、福建省、浙江省、江苏省和江西省。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3、采购数量 约4</w:t>
      </w:r>
      <w:r>
        <w:rPr>
          <w:rFonts w:ascii="仿宋_GB2312" w:hAnsi="仿宋" w:eastAsia="仿宋_GB2312"/>
          <w:sz w:val="24"/>
        </w:rPr>
        <w:t>5</w:t>
      </w:r>
      <w:r>
        <w:rPr>
          <w:rFonts w:hint="eastAsia" w:ascii="仿宋_GB2312" w:hAnsi="仿宋" w:eastAsia="仿宋_GB2312"/>
          <w:sz w:val="24"/>
        </w:rPr>
        <w:t>000吨-</w:t>
      </w:r>
      <w:r>
        <w:rPr>
          <w:rFonts w:ascii="仿宋_GB2312" w:hAnsi="仿宋" w:eastAsia="仿宋_GB2312"/>
          <w:sz w:val="24"/>
        </w:rPr>
        <w:t>46500吨</w:t>
      </w:r>
    </w:p>
    <w:tbl>
      <w:tblPr>
        <w:tblStyle w:val="38"/>
        <w:tblW w:w="911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510"/>
        <w:gridCol w:w="2830"/>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52" w:type="dxa"/>
            <w:vAlign w:val="center"/>
          </w:tcPr>
          <w:p>
            <w:pPr>
              <w:spacing w:line="400" w:lineRule="exact"/>
              <w:jc w:val="center"/>
              <w:rPr>
                <w:rFonts w:ascii="仿宋_GB2312" w:hAnsi="仿宋" w:eastAsia="仿宋_GB2312"/>
                <w:sz w:val="24"/>
              </w:rPr>
            </w:pPr>
            <w:r>
              <w:rPr>
                <w:rFonts w:hint="eastAsia" w:ascii="仿宋_GB2312" w:hAnsi="仿宋" w:eastAsia="仿宋_GB2312"/>
                <w:sz w:val="24"/>
              </w:rPr>
              <w:t>标段号</w:t>
            </w:r>
          </w:p>
        </w:tc>
        <w:tc>
          <w:tcPr>
            <w:tcW w:w="2510" w:type="dxa"/>
            <w:vAlign w:val="center"/>
          </w:tcPr>
          <w:p>
            <w:pPr>
              <w:spacing w:line="400" w:lineRule="exact"/>
              <w:jc w:val="center"/>
              <w:rPr>
                <w:rFonts w:ascii="仿宋_GB2312" w:hAnsi="仿宋" w:eastAsia="仿宋_GB2312"/>
                <w:sz w:val="24"/>
              </w:rPr>
            </w:pPr>
            <w:r>
              <w:rPr>
                <w:rFonts w:hint="eastAsia" w:ascii="仿宋_GB2312" w:hAnsi="仿宋" w:eastAsia="仿宋_GB2312"/>
                <w:sz w:val="24"/>
              </w:rPr>
              <w:t>服务内容</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运输范围</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预计运量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广西省、广东省、海南省</w:t>
            </w:r>
          </w:p>
        </w:tc>
        <w:tc>
          <w:tcPr>
            <w:tcW w:w="2626" w:type="dxa"/>
            <w:vAlign w:val="center"/>
          </w:tcPr>
          <w:p>
            <w:pPr>
              <w:widowControl/>
              <w:ind w:right="28"/>
              <w:jc w:val="center"/>
              <w:rPr>
                <w:rFonts w:ascii="仿宋_GB2312" w:hAnsi="仿宋" w:eastAsia="仿宋_GB2312" w:cs="仿宋"/>
                <w:sz w:val="24"/>
              </w:rPr>
            </w:pPr>
            <w:r>
              <w:rPr>
                <w:rFonts w:ascii="仿宋_GB2312" w:hAnsi="仿宋" w:eastAsia="仿宋_GB2312" w:cs="仿宋"/>
                <w:sz w:val="24"/>
              </w:rPr>
              <w:t>6</w:t>
            </w:r>
            <w:r>
              <w:rPr>
                <w:rFonts w:hint="eastAsia" w:ascii="仿宋_GB2312" w:hAnsi="仿宋" w:eastAsia="仿宋_GB2312" w:cs="仿宋"/>
                <w:sz w:val="24"/>
              </w:rPr>
              <w:t>4</w:t>
            </w:r>
            <w:r>
              <w:rPr>
                <w:rFonts w:ascii="仿宋_GB2312" w:hAnsi="仿宋" w:eastAsia="仿宋_GB2312" w:cs="仿宋"/>
                <w:sz w:val="24"/>
              </w:rPr>
              <w:t>0</w:t>
            </w:r>
            <w:r>
              <w:rPr>
                <w:rFonts w:hint="eastAsia" w:ascii="仿宋_GB2312" w:hAnsi="仿宋" w:eastAsia="仿宋_GB2312" w:cs="仿宋"/>
                <w:sz w:val="24"/>
              </w:rPr>
              <w:t>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河南省、湖北省、湖南省</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3</w:t>
            </w:r>
            <w:r>
              <w:rPr>
                <w:rFonts w:ascii="仿宋_GB2312" w:hAnsi="仿宋" w:eastAsia="仿宋_GB2312" w:cs="仿宋"/>
                <w:sz w:val="24"/>
              </w:rPr>
              <w:t>240</w:t>
            </w:r>
            <w:r>
              <w:rPr>
                <w:rFonts w:hint="eastAsia" w:ascii="仿宋_GB2312" w:hAnsi="仿宋" w:eastAsia="仿宋_GB2312" w:cs="仿宋"/>
                <w:sz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北京市、河北省、山西省、内蒙古自治区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5220吨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陕西省、宁夏回族自治区、甘肃省、青海省、新疆维吾尔族自治区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10900吨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四川省、重庆市、云南省、贵州省和西藏自治区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18000吨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hint="eastAsia"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hint="eastAsia" w:ascii="仿宋_GB2312" w:hAnsi="仿宋" w:eastAsia="仿宋_GB2312" w:cs="仿宋"/>
                <w:sz w:val="24"/>
              </w:rPr>
            </w:pPr>
            <w:r>
              <w:rPr>
                <w:rFonts w:hint="eastAsia" w:ascii="仿宋" w:hAnsi="仿宋" w:eastAsia="仿宋" w:cs="仿宋"/>
                <w:sz w:val="24"/>
              </w:rPr>
              <w:t>山东省、福建省、浙江省、江苏省和江西省</w:t>
            </w:r>
          </w:p>
        </w:tc>
        <w:tc>
          <w:tcPr>
            <w:tcW w:w="2626" w:type="dxa"/>
            <w:vAlign w:val="center"/>
          </w:tcPr>
          <w:p>
            <w:pPr>
              <w:widowControl/>
              <w:ind w:right="28"/>
              <w:jc w:val="center"/>
              <w:rPr>
                <w:rFonts w:hint="eastAsia" w:ascii="仿宋_GB2312" w:hAnsi="仿宋" w:eastAsia="仿宋_GB2312" w:cs="仿宋"/>
                <w:sz w:val="24"/>
              </w:rPr>
            </w:pPr>
            <w:r>
              <w:rPr>
                <w:rFonts w:hint="eastAsia" w:ascii="仿宋_GB2312" w:hAnsi="仿宋" w:eastAsia="仿宋_GB2312" w:cs="仿宋"/>
                <w:sz w:val="24"/>
              </w:rPr>
              <w:t>2</w:t>
            </w:r>
            <w:r>
              <w:rPr>
                <w:rFonts w:ascii="仿宋_GB2312" w:hAnsi="仿宋" w:eastAsia="仿宋_GB2312" w:cs="仿宋"/>
                <w:sz w:val="24"/>
              </w:rPr>
              <w:t>740吨</w:t>
            </w:r>
          </w:p>
        </w:tc>
      </w:tr>
    </w:tbl>
    <w:p>
      <w:pPr>
        <w:spacing w:line="360" w:lineRule="auto"/>
        <w:ind w:firstLine="480" w:firstLineChars="200"/>
        <w:rPr>
          <w:rFonts w:ascii="仿宋_GB2312" w:hAnsi="仿宋" w:eastAsia="仿宋_GB2312"/>
          <w:sz w:val="24"/>
          <w:highlight w:val="yellow"/>
        </w:rPr>
      </w:pPr>
      <w:r>
        <w:rPr>
          <w:rFonts w:hint="eastAsia" w:ascii="仿宋_GB2312" w:hAnsi="仿宋" w:eastAsia="仿宋_GB2312"/>
          <w:sz w:val="24"/>
        </w:rPr>
        <w:t>4、服务时间：2024年1月1日至2024年12月31日。</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5、服务地点：</w:t>
      </w:r>
      <w:bookmarkStart w:id="7" w:name="_Hlk79500660"/>
      <w:bookmarkStart w:id="8" w:name="_Hlk77667839"/>
      <w:r>
        <w:rPr>
          <w:rFonts w:hint="eastAsia" w:ascii="仿宋_GB2312" w:hAnsi="仿宋" w:eastAsia="仿宋_GB2312"/>
          <w:sz w:val="24"/>
        </w:rPr>
        <w:t>四川天成明超电缆有限公司（四川省成都市邛崃市天府新区半导体材料产业功能区羊横二路33号），运输范围详见“招标范围”。</w:t>
      </w:r>
      <w:bookmarkEnd w:id="7"/>
      <w:bookmarkEnd w:id="8"/>
    </w:p>
    <w:p>
      <w:pPr>
        <w:spacing w:line="360" w:lineRule="auto"/>
        <w:ind w:firstLine="480" w:firstLineChars="200"/>
        <w:rPr>
          <w:rFonts w:ascii="仿宋_GB2312" w:hAnsi="仿宋" w:eastAsia="仿宋_GB2312"/>
          <w:sz w:val="24"/>
        </w:rPr>
      </w:pPr>
      <w:r>
        <w:rPr>
          <w:rFonts w:hint="eastAsia" w:ascii="仿宋_GB2312" w:hAnsi="仿宋" w:eastAsia="仿宋_GB2312"/>
          <w:sz w:val="24"/>
        </w:rPr>
        <w:t>6、</w:t>
      </w:r>
      <w:bookmarkStart w:id="9" w:name="_Hlk96071671"/>
      <w:r>
        <w:rPr>
          <w:rFonts w:hint="eastAsia" w:ascii="仿宋_GB2312" w:hAnsi="仿宋" w:eastAsia="仿宋_GB2312"/>
          <w:sz w:val="24"/>
        </w:rPr>
        <w:t>服务要求：</w:t>
      </w:r>
      <w:bookmarkEnd w:id="9"/>
      <w:bookmarkStart w:id="10" w:name="_Hlk127797843"/>
    </w:p>
    <w:p>
      <w:pPr>
        <w:spacing w:line="360" w:lineRule="auto"/>
        <w:ind w:firstLine="480" w:firstLineChars="200"/>
        <w:rPr>
          <w:rFonts w:ascii="仿宋_GB2312" w:hAnsi="仿宋" w:eastAsia="仿宋_GB2312"/>
          <w:sz w:val="24"/>
        </w:rPr>
      </w:pPr>
      <w:r>
        <w:rPr>
          <w:rFonts w:hint="eastAsia" w:ascii="仿宋_GB2312" w:hAnsi="仿宋" w:eastAsia="仿宋_GB2312"/>
          <w:sz w:val="24"/>
        </w:rPr>
        <w:t>6.1乙方需上门取货，并负责在甲方指定地点装车工作和上车后防护工作，甲方提供必要的叉车装吊工具和工具操作人员，取货后乙方将货物按时配送到目的地，并负责卸货，按客户要求将货物放置于客户指定位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6.2乙方需提供满足合作下单、对账等需要的专业化信息系统，按甲方需求提供给甲方使用或与甲方管理系统对接，必要时需作系统改进。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6.3乙方须配置充分的项目执行人员，同时随车配置跟车人员，代甲方与客户做交接签收，并在规定时间内将签收回单交回甲方。</w:t>
      </w:r>
    </w:p>
    <w:bookmarkEnd w:id="10"/>
    <w:p>
      <w:pPr>
        <w:widowControl/>
        <w:numPr>
          <w:ilvl w:val="0"/>
          <w:numId w:val="3"/>
        </w:numPr>
        <w:spacing w:line="360" w:lineRule="auto"/>
        <w:ind w:firstLine="480" w:firstLineChars="200"/>
        <w:rPr>
          <w:rFonts w:ascii="仿宋_GB2312" w:hAnsi="仿宋" w:eastAsia="仿宋_GB2312"/>
          <w:bCs/>
          <w:sz w:val="24"/>
        </w:rPr>
      </w:pPr>
      <w:r>
        <w:rPr>
          <w:rFonts w:hint="eastAsia" w:ascii="仿宋_GB2312" w:hAnsi="仿宋" w:eastAsia="仿宋_GB2312"/>
          <w:bCs/>
          <w:sz w:val="24"/>
        </w:rPr>
        <w:t>付款方式：</w:t>
      </w:r>
    </w:p>
    <w:p>
      <w:pPr>
        <w:widowControl/>
        <w:spacing w:line="360" w:lineRule="auto"/>
        <w:ind w:firstLine="420" w:firstLineChars="175"/>
        <w:rPr>
          <w:rFonts w:ascii="仿宋_GB2312" w:hAnsi="仿宋" w:eastAsia="仿宋_GB2312"/>
          <w:bCs/>
          <w:sz w:val="24"/>
        </w:rPr>
      </w:pPr>
      <w:r>
        <w:rPr>
          <w:rFonts w:hint="eastAsia" w:ascii="仿宋_GB2312" w:hAnsi="仿宋" w:eastAsia="仿宋_GB2312"/>
          <w:bCs/>
          <w:sz w:val="24"/>
        </w:rPr>
        <w:t xml:space="preserve">7.1运输费用：根据《合作价格》（见附件二）及承运数量计算，合作价格合同期内不再调整，除非经双方书面一致同意。  </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7.2结算账期：运输后，次月进行对账，白单回收完整按月结算，开票后1个月内付款。</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7.3结算方式 ：所产生物流运输费用可选择以下任意方式：</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（1）银行承兑汇票：期限5个月，包含各类村镇银行，超过5个月按支付当天中国银行贴现率执行支付资金费用。</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（2）供应链金融产品：期限3个月，包含但不限于中企云链、云诺、云信、建信融通等平台；超过3个月按支付当天中国银行一年期贷款基准利率计算资金费用，由我司和供应商各自承担一半。</w:t>
      </w:r>
    </w:p>
    <w:p>
      <w:pPr>
        <w:widowControl/>
        <w:spacing w:line="360" w:lineRule="auto"/>
        <w:ind w:firstLine="480" w:firstLineChars="200"/>
        <w:rPr>
          <w:rFonts w:ascii="仿宋_GB2312" w:hAnsi="仿宋" w:eastAsia="仿宋_GB2312"/>
          <w:sz w:val="24"/>
        </w:rPr>
      </w:pPr>
      <w:r>
        <w:rPr>
          <w:rFonts w:hint="eastAsia" w:ascii="仿宋_GB2312" w:hAnsi="仿宋" w:eastAsia="仿宋_GB2312"/>
          <w:bCs/>
          <w:sz w:val="24"/>
        </w:rPr>
        <w:t>（3）非银行金融机构出具的承兑汇票：期限4个月，包含但不限于财务公司、信托等机构，超过4个月按支付当天中国银行一年期贷款基准利率计算资金费用，由我司和供应商各自承担一半。</w:t>
      </w:r>
    </w:p>
    <w:p>
      <w:pPr>
        <w:pStyle w:val="2"/>
      </w:pPr>
      <w:bookmarkStart w:id="11" w:name="_Toc151390332"/>
      <w:r>
        <w:rPr>
          <w:rFonts w:hint="eastAsia"/>
        </w:rPr>
        <w:t>三、投标人资格要求</w:t>
      </w:r>
      <w:bookmarkEnd w:id="11"/>
    </w:p>
    <w:p>
      <w:pPr>
        <w:spacing w:line="360" w:lineRule="auto"/>
        <w:ind w:firstLine="480" w:firstLineChars="200"/>
        <w:rPr>
          <w:rFonts w:ascii="仿宋_GB2312" w:hAnsi="仿宋" w:eastAsia="仿宋_GB2312"/>
          <w:sz w:val="24"/>
        </w:rPr>
      </w:pPr>
      <w:r>
        <w:rPr>
          <w:rFonts w:hint="eastAsia" w:ascii="仿宋_GB2312" w:hAnsi="仿宋" w:eastAsia="仿宋_GB2312"/>
          <w:sz w:val="24"/>
        </w:rPr>
        <w:t>投标人必须满足以下全部资格要求：</w:t>
      </w:r>
    </w:p>
    <w:p>
      <w:pPr>
        <w:numPr>
          <w:ilvl w:val="0"/>
          <w:numId w:val="4"/>
        </w:numPr>
        <w:spacing w:line="360" w:lineRule="auto"/>
        <w:ind w:left="0" w:firstLine="420"/>
        <w:rPr>
          <w:rFonts w:ascii="仿宋_GB2312" w:hAnsi="仿宋" w:eastAsia="仿宋_GB2312"/>
          <w:sz w:val="24"/>
        </w:rPr>
      </w:pPr>
      <w:bookmarkStart w:id="12" w:name="_Hlk86306765"/>
      <w:r>
        <w:rPr>
          <w:rFonts w:hint="eastAsia" w:ascii="仿宋_GB2312" w:hAnsi="仿宋" w:eastAsia="仿宋_GB2312"/>
          <w:bCs/>
          <w:sz w:val="24"/>
        </w:rPr>
        <w:t>投标人</w:t>
      </w:r>
      <w:r>
        <w:rPr>
          <w:rFonts w:hint="eastAsia" w:ascii="仿宋_GB2312" w:hAnsi="仿宋" w:eastAsia="仿宋_GB2312"/>
          <w:bCs/>
          <w:kern w:val="0"/>
          <w:sz w:val="24"/>
        </w:rPr>
        <w:t>必须是依照中华人民共和国法律设立并在中华人民共和国境内登记注册的独立法人</w:t>
      </w:r>
      <w:r>
        <w:rPr>
          <w:rFonts w:hint="eastAsia" w:ascii="仿宋_GB2312" w:hAnsi="仿宋" w:eastAsia="仿宋_GB2312"/>
          <w:sz w:val="24"/>
        </w:rPr>
        <w:t>；</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投标人</w:t>
      </w:r>
      <w:r>
        <w:rPr>
          <w:rFonts w:hint="eastAsia" w:ascii="仿宋_GB2312" w:hAnsi="仿宋" w:eastAsia="仿宋_GB2312"/>
          <w:bCs/>
          <w:kern w:val="0"/>
          <w:sz w:val="24"/>
        </w:rPr>
        <w:t>必须</w:t>
      </w:r>
      <w:r>
        <w:rPr>
          <w:rFonts w:hint="eastAsia" w:ascii="仿宋_GB2312" w:hAnsi="仿宋" w:eastAsia="仿宋_GB2312"/>
          <w:bCs/>
          <w:sz w:val="24"/>
        </w:rPr>
        <w:t>遵守国家法律法规及本公司规章制度；</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投标人具有独立承担民事责任能力（提供道路运输经营许可证、营业执照、法定代表人身份证）；</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注册资本大于等于500万元；</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能提供2-3辆可出入成都市区的车辆随时调配；</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公司规模实力：有3年以上电线电缆行业运输经验，提供业绩证明合同、收款凭证等；平均每年运输收入在200万元以上（要提供合同和发票</w:t>
      </w:r>
      <w:r>
        <w:rPr>
          <w:rFonts w:hint="eastAsia" w:ascii="仿宋" w:hAnsi="仿宋" w:eastAsia="仿宋"/>
          <w:sz w:val="24"/>
        </w:rPr>
        <w:t>或收款凭证</w:t>
      </w:r>
      <w:r>
        <w:rPr>
          <w:rFonts w:hint="eastAsia" w:ascii="仿宋_GB2312" w:hAnsi="仿宋" w:eastAsia="仿宋_GB2312"/>
          <w:bCs/>
          <w:sz w:val="24"/>
        </w:rPr>
        <w:t>佐证）；</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能为本项目配备至少一名客服专员，能及时处理售后问题；</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本次投标不接受联合体投标；</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本次投标不接受代理商投标；</w:t>
      </w:r>
    </w:p>
    <w:p>
      <w:pPr>
        <w:numPr>
          <w:ilvl w:val="0"/>
          <w:numId w:val="4"/>
        </w:numPr>
        <w:spacing w:line="360" w:lineRule="auto"/>
        <w:ind w:left="0" w:firstLine="420"/>
        <w:rPr>
          <w:rFonts w:ascii="仿宋_GB2312" w:hAnsi="仿宋" w:eastAsia="仿宋_GB2312"/>
          <w:kern w:val="0"/>
          <w:sz w:val="24"/>
        </w:rPr>
      </w:pPr>
      <w:r>
        <w:rPr>
          <w:rFonts w:hint="eastAsia" w:ascii="仿宋_GB2312" w:hAnsi="仿宋" w:eastAsia="仿宋_GB2312"/>
          <w:kern w:val="0"/>
          <w:sz w:val="24"/>
        </w:rPr>
        <w:t>投标人不存在《中华人民共和国招标投标法》、《中华人民共和国招标投标法实施条例》禁止投标的情形。</w:t>
      </w:r>
    </w:p>
    <w:bookmarkEnd w:id="12"/>
    <w:p>
      <w:pPr>
        <w:pStyle w:val="2"/>
      </w:pPr>
      <w:bookmarkStart w:id="13" w:name="_Toc151390333"/>
      <w:bookmarkStart w:id="14" w:name="_Toc442260379"/>
      <w:r>
        <w:rPr>
          <w:rFonts w:hint="eastAsia"/>
        </w:rPr>
        <w:t>四、招标文件的获取</w:t>
      </w:r>
      <w:bookmarkEnd w:id="13"/>
      <w:bookmarkEnd w:id="14"/>
    </w:p>
    <w:p>
      <w:pPr>
        <w:widowControl/>
        <w:spacing w:line="360" w:lineRule="auto"/>
        <w:ind w:firstLine="480" w:firstLineChars="200"/>
        <w:rPr>
          <w:rFonts w:ascii="仿宋_GB2312" w:hAnsi="仿宋" w:eastAsia="仿宋_GB2312" w:cs="楷体"/>
          <w:kern w:val="0"/>
          <w:sz w:val="24"/>
        </w:rPr>
      </w:pPr>
      <w:bookmarkStart w:id="15" w:name="_Toc241901984"/>
      <w:bookmarkStart w:id="16" w:name="_Toc241902813"/>
      <w:bookmarkStart w:id="17" w:name="_Hlk16691532"/>
      <w:r>
        <w:rPr>
          <w:rFonts w:hint="eastAsia" w:ascii="仿宋_GB2312" w:hAnsi="仿宋" w:eastAsia="仿宋_GB2312" w:cs="楷体"/>
          <w:kern w:val="0"/>
          <w:sz w:val="24"/>
        </w:rPr>
        <w:t>1、凡满足本公告规定的投标人资格要求并有意参加投标者，请于</w:t>
      </w:r>
      <w:r>
        <w:rPr>
          <w:rFonts w:hint="eastAsia" w:ascii="仿宋_GB2312" w:hAnsi="仿宋" w:eastAsia="仿宋_GB2312" w:cs="楷体"/>
          <w:kern w:val="0"/>
          <w:sz w:val="24"/>
          <w:u w:val="single"/>
        </w:rPr>
        <w:t>2023年11月2</w:t>
      </w:r>
      <w:r>
        <w:rPr>
          <w:rFonts w:ascii="仿宋_GB2312" w:hAnsi="仿宋" w:eastAsia="仿宋_GB2312" w:cs="楷体"/>
          <w:kern w:val="0"/>
          <w:sz w:val="24"/>
          <w:u w:val="single"/>
        </w:rPr>
        <w:t>2</w:t>
      </w:r>
      <w:r>
        <w:rPr>
          <w:rFonts w:hint="eastAsia" w:ascii="仿宋_GB2312" w:hAnsi="仿宋" w:eastAsia="仿宋_GB2312" w:cs="楷体"/>
          <w:kern w:val="0"/>
          <w:sz w:val="24"/>
          <w:u w:val="single"/>
        </w:rPr>
        <w:t>日</w:t>
      </w:r>
      <w:r>
        <w:rPr>
          <w:rFonts w:ascii="仿宋_GB2312" w:hAnsi="仿宋" w:eastAsia="仿宋_GB2312" w:cs="楷体"/>
          <w:kern w:val="0"/>
          <w:sz w:val="24"/>
          <w:u w:val="single"/>
        </w:rPr>
        <w:t>12</w:t>
      </w:r>
      <w:r>
        <w:rPr>
          <w:rFonts w:hint="eastAsia" w:ascii="仿宋_GB2312" w:hAnsi="仿宋" w:eastAsia="仿宋_GB2312" w:cs="楷体"/>
          <w:kern w:val="0"/>
          <w:sz w:val="24"/>
          <w:u w:val="single"/>
        </w:rPr>
        <w:t>:00前</w:t>
      </w:r>
      <w:r>
        <w:rPr>
          <w:rFonts w:hint="eastAsia" w:ascii="仿宋_GB2312" w:hAnsi="仿宋" w:eastAsia="仿宋_GB2312" w:cs="楷体"/>
          <w:kern w:val="0"/>
          <w:sz w:val="24"/>
        </w:rPr>
        <w:t>（北京时间）前往四川天成明超电缆有限公司获取招标文件，或在</w:t>
      </w:r>
      <w:r>
        <w:rPr>
          <w:rFonts w:hint="eastAsia" w:ascii="仿宋" w:hAnsi="仿宋" w:eastAsia="仿宋" w:cs="Arial"/>
          <w:kern w:val="0"/>
          <w:sz w:val="24"/>
        </w:rPr>
        <w:t>四川天成明超电缆有限公司官方网站</w:t>
      </w:r>
      <w:r>
        <w:rPr>
          <w:rFonts w:hint="eastAsia" w:ascii="仿宋_GB2312" w:hAnsi="仿宋" w:eastAsia="仿宋_GB2312" w:cs="楷体"/>
          <w:kern w:val="0"/>
          <w:sz w:val="24"/>
        </w:rPr>
        <w:t>（http://www.tcmcdl.cn/）获取招标文件。</w:t>
      </w:r>
    </w:p>
    <w:p>
      <w:pPr>
        <w:widowControl/>
        <w:spacing w:line="360" w:lineRule="auto"/>
        <w:ind w:firstLine="480" w:firstLineChars="200"/>
        <w:rPr>
          <w:rFonts w:ascii="仿宋_GB2312" w:hAnsi="仿宋" w:eastAsia="仿宋_GB2312" w:cs="楷体"/>
          <w:kern w:val="0"/>
          <w:sz w:val="24"/>
        </w:rPr>
      </w:pPr>
      <w:r>
        <w:rPr>
          <w:rFonts w:hint="eastAsia" w:ascii="仿宋_GB2312" w:hAnsi="仿宋" w:eastAsia="仿宋_GB2312" w:cs="楷体"/>
          <w:kern w:val="0"/>
          <w:sz w:val="24"/>
        </w:rPr>
        <w:t>2、有意参加投标者需现场（四川省成都市邛崃市天府新区半导体材料产业功能区羊横二路33号）提供盖有单位公章的营业执照复印件、法定代表人与被授权人身份证复印件和授权委托书和投标回执，或以电子邮件的形式发至电子邮箱</w:t>
      </w:r>
      <w:r>
        <w:rPr>
          <w:rFonts w:ascii="仿宋_GB2312" w:hAnsi="仿宋" w:eastAsia="仿宋_GB2312" w:cs="楷体"/>
          <w:kern w:val="0"/>
          <w:sz w:val="24"/>
        </w:rPr>
        <w:t>1391230637@QQ</w:t>
      </w:r>
      <w:r>
        <w:rPr>
          <w:rFonts w:hint="eastAsia" w:ascii="仿宋_GB2312" w:hAnsi="仿宋" w:eastAsia="仿宋_GB2312" w:cs="楷体"/>
          <w:kern w:val="0"/>
          <w:sz w:val="24"/>
        </w:rPr>
        <w:t>.com</w:t>
      </w:r>
      <w:r>
        <w:rPr>
          <w:rFonts w:hint="eastAsia" w:ascii="仿宋_GB2312" w:hAnsi="仿宋" w:eastAsia="仿宋_GB2312" w:cs="Times New Roman"/>
          <w:kern w:val="0"/>
          <w:sz w:val="24"/>
        </w:rPr>
        <w:t>。</w:t>
      </w:r>
    </w:p>
    <w:p>
      <w:pPr>
        <w:pStyle w:val="2"/>
      </w:pPr>
      <w:bookmarkStart w:id="18" w:name="_Toc79842618"/>
      <w:bookmarkStart w:id="19" w:name="_Toc151390334"/>
      <w:r>
        <w:rPr>
          <w:rFonts w:hint="eastAsia"/>
        </w:rPr>
        <w:t>五、</w:t>
      </w:r>
      <w:bookmarkEnd w:id="15"/>
      <w:bookmarkEnd w:id="16"/>
      <w:bookmarkStart w:id="20" w:name="_Toc241902814"/>
      <w:bookmarkStart w:id="21" w:name="_Toc241901985"/>
      <w:r>
        <w:rPr>
          <w:rFonts w:hint="eastAsia"/>
        </w:rPr>
        <w:t>投标文件的递交</w:t>
      </w:r>
      <w:bookmarkEnd w:id="18"/>
      <w:bookmarkEnd w:id="19"/>
      <w:bookmarkEnd w:id="20"/>
      <w:bookmarkEnd w:id="21"/>
    </w:p>
    <w:p>
      <w:pPr>
        <w:widowControl/>
        <w:spacing w:line="360" w:lineRule="auto"/>
        <w:ind w:firstLine="480" w:firstLineChars="200"/>
        <w:rPr>
          <w:rFonts w:ascii="仿宋_GB2312" w:hAnsi="仿宋" w:eastAsia="仿宋_GB2312"/>
          <w:kern w:val="0"/>
          <w:sz w:val="24"/>
          <w:u w:val="single"/>
        </w:rPr>
      </w:pPr>
      <w:bookmarkStart w:id="22" w:name="_Hlk42266591"/>
      <w:bookmarkStart w:id="23" w:name="_Toc241901986"/>
      <w:bookmarkStart w:id="24" w:name="_Toc241902815"/>
      <w:r>
        <w:rPr>
          <w:rFonts w:hint="eastAsia" w:ascii="仿宋_GB2312" w:hAnsi="仿宋" w:eastAsia="仿宋_GB2312"/>
          <w:kern w:val="0"/>
          <w:sz w:val="24"/>
        </w:rPr>
        <w:t>1、投标文件递交的截止时间（投标截止时间，下同）为</w:t>
      </w:r>
      <w:r>
        <w:rPr>
          <w:rFonts w:hint="eastAsia" w:ascii="仿宋_GB2312" w:hAnsi="仿宋" w:eastAsia="仿宋_GB2312"/>
          <w:kern w:val="0"/>
          <w:sz w:val="24"/>
          <w:u w:val="single"/>
        </w:rPr>
        <w:t>2023年1</w:t>
      </w:r>
      <w:r>
        <w:rPr>
          <w:rFonts w:ascii="仿宋_GB2312" w:hAnsi="仿宋" w:eastAsia="仿宋_GB2312"/>
          <w:kern w:val="0"/>
          <w:sz w:val="24"/>
          <w:u w:val="single"/>
        </w:rPr>
        <w:t>2</w:t>
      </w:r>
      <w:r>
        <w:rPr>
          <w:rFonts w:hint="eastAsia" w:ascii="仿宋_GB2312" w:hAnsi="仿宋" w:eastAsia="仿宋_GB2312"/>
          <w:kern w:val="0"/>
          <w:sz w:val="24"/>
          <w:u w:val="single"/>
        </w:rPr>
        <w:t>月</w:t>
      </w:r>
      <w:r>
        <w:rPr>
          <w:rFonts w:ascii="仿宋_GB2312" w:hAnsi="仿宋" w:eastAsia="仿宋_GB2312"/>
          <w:kern w:val="0"/>
          <w:sz w:val="24"/>
          <w:u w:val="single"/>
        </w:rPr>
        <w:t>3</w:t>
      </w:r>
      <w:r>
        <w:rPr>
          <w:rFonts w:hint="eastAsia" w:ascii="仿宋_GB2312" w:hAnsi="仿宋" w:eastAsia="仿宋_GB2312"/>
          <w:kern w:val="0"/>
          <w:sz w:val="24"/>
          <w:u w:val="single"/>
        </w:rPr>
        <w:t>日</w:t>
      </w:r>
      <w:r>
        <w:rPr>
          <w:rFonts w:ascii="仿宋_GB2312" w:hAnsi="仿宋" w:eastAsia="仿宋_GB2312"/>
          <w:kern w:val="0"/>
          <w:sz w:val="24"/>
          <w:u w:val="single"/>
        </w:rPr>
        <w:t>24</w:t>
      </w:r>
      <w:r>
        <w:rPr>
          <w:rFonts w:hint="eastAsia" w:ascii="仿宋_GB2312" w:hAnsi="仿宋" w:eastAsia="仿宋_GB2312"/>
          <w:kern w:val="0"/>
          <w:sz w:val="24"/>
          <w:u w:val="single"/>
        </w:rPr>
        <w:t>时00分</w:t>
      </w:r>
      <w:r>
        <w:rPr>
          <w:rFonts w:hint="eastAsia" w:ascii="仿宋_GB2312" w:hAnsi="仿宋" w:eastAsia="仿宋_GB2312"/>
          <w:kern w:val="0"/>
          <w:sz w:val="24"/>
        </w:rPr>
        <w:t>（北京时间），投标人应在截止时间前通过</w:t>
      </w:r>
      <w:r>
        <w:rPr>
          <w:rFonts w:hint="eastAsia" w:ascii="仿宋_GB2312" w:hAnsi="仿宋" w:eastAsia="仿宋_GB2312" w:cs="Arial"/>
          <w:b/>
          <w:kern w:val="0"/>
          <w:sz w:val="24"/>
        </w:rPr>
        <w:t>邮寄及电子邮</w:t>
      </w:r>
      <w:r>
        <w:rPr>
          <w:rFonts w:hint="eastAsia" w:ascii="仿宋_GB2312" w:hAnsi="仿宋" w:eastAsia="仿宋_GB2312" w:cs="Arial"/>
          <w:b/>
          <w:bCs/>
          <w:kern w:val="0"/>
          <w:sz w:val="24"/>
        </w:rPr>
        <w:t>件</w:t>
      </w:r>
      <w:r>
        <w:rPr>
          <w:rFonts w:hint="eastAsia" w:ascii="仿宋_GB2312" w:hAnsi="仿宋" w:eastAsia="仿宋_GB2312" w:cs="Arial"/>
          <w:bCs/>
          <w:kern w:val="0"/>
          <w:sz w:val="24"/>
        </w:rPr>
        <w:t>形式递交</w:t>
      </w:r>
      <w:r>
        <w:rPr>
          <w:rFonts w:hint="eastAsia" w:ascii="仿宋_GB2312" w:hAnsi="仿宋" w:eastAsia="仿宋_GB2312" w:cs="Arial"/>
          <w:kern w:val="0"/>
          <w:sz w:val="24"/>
        </w:rPr>
        <w:t>投标文件，二者缺一不可</w:t>
      </w:r>
      <w:r>
        <w:rPr>
          <w:rFonts w:hint="eastAsia" w:ascii="仿宋_GB2312" w:hAnsi="仿宋" w:eastAsia="仿宋_GB2312"/>
          <w:kern w:val="0"/>
          <w:sz w:val="24"/>
        </w:rPr>
        <w:t>。</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（1）本次采购将通过纸质+电子形式递交投标文件，各投标人应及时寄送纸质投标书并发送电子邮件，确保在投标截止日前送达。因快递时效或网络故障造成的投标失败将由投标人自行承担后果。</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w:t>
      </w:r>
      <w:r>
        <w:rPr>
          <w:rFonts w:hint="eastAsia" w:ascii="仿宋_GB2312" w:hAnsi="仿宋" w:eastAsia="仿宋_GB2312"/>
          <w:sz w:val="24"/>
        </w:rPr>
        <w:t>请各投标人充分考虑快递时效、网络速度的影响并预留充足的时间。</w:t>
      </w:r>
      <w:r>
        <w:rPr>
          <w:rFonts w:hint="eastAsia" w:ascii="仿宋_GB2312" w:hAnsi="仿宋" w:eastAsia="仿宋_GB2312"/>
          <w:kern w:val="0"/>
          <w:sz w:val="24"/>
        </w:rPr>
        <w:t>快递请使用顺丰快递，运费自付，其他快递公司及运费到付的情形将视为被否决的投标文件。</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（5）电子投标文件须提供经签章的投标文件PDF扫描件，及可编辑的word文档，全部加密处理，</w:t>
      </w:r>
      <w:r>
        <w:rPr>
          <w:rFonts w:hint="eastAsia" w:ascii="仿宋_GB2312" w:hAnsi="仿宋" w:eastAsia="仿宋_GB2312"/>
          <w:sz w:val="22"/>
          <w:szCs w:val="22"/>
        </w:rPr>
        <w:t>文件命名格式为：（项目名称）-商务标、价格标，（项目名称）-技术标，并在投标文件递交截止时间前将电子标书发送至：</w:t>
      </w:r>
      <w:r>
        <w:fldChar w:fldCharType="begin"/>
      </w:r>
      <w:r>
        <w:instrText xml:space="preserve"> HYPERLINK "mailto:1391230637@QQ.com" </w:instrText>
      </w:r>
      <w:r>
        <w:fldChar w:fldCharType="separate"/>
      </w:r>
      <w:r>
        <w:rPr>
          <w:rStyle w:val="44"/>
          <w:rFonts w:ascii="仿宋_GB2312" w:hAnsi="仿宋" w:eastAsia="仿宋_GB2312" w:cs="楷体"/>
          <w:kern w:val="0"/>
          <w:sz w:val="24"/>
        </w:rPr>
        <w:t>1391230637@QQ</w:t>
      </w:r>
      <w:r>
        <w:rPr>
          <w:rStyle w:val="44"/>
          <w:rFonts w:hint="eastAsia" w:ascii="仿宋_GB2312" w:hAnsi="仿宋" w:eastAsia="仿宋_GB2312" w:cs="楷体"/>
          <w:kern w:val="0"/>
          <w:sz w:val="24"/>
        </w:rPr>
        <w:t>.com</w:t>
      </w:r>
      <w:r>
        <w:rPr>
          <w:rStyle w:val="44"/>
          <w:rFonts w:hint="eastAsia" w:ascii="仿宋_GB2312" w:hAnsi="仿宋" w:eastAsia="仿宋_GB2312" w:cs="楷体"/>
          <w:kern w:val="0"/>
          <w:sz w:val="24"/>
        </w:rPr>
        <w:fldChar w:fldCharType="end"/>
      </w:r>
      <w:r>
        <w:rPr>
          <w:rFonts w:hint="eastAsia" w:ascii="仿宋_GB2312" w:hAnsi="仿宋" w:eastAsia="仿宋_GB2312" w:cs="楷体"/>
          <w:kern w:val="0"/>
          <w:sz w:val="24"/>
        </w:rPr>
        <w:t>，</w:t>
      </w:r>
      <w:r>
        <w:rPr>
          <w:rFonts w:hint="eastAsia" w:ascii="仿宋_GB2312" w:hAnsi="仿宋" w:eastAsia="仿宋_GB2312"/>
          <w:kern w:val="0"/>
          <w:sz w:val="24"/>
        </w:rPr>
        <w:t>密码文件发送至：</w:t>
      </w:r>
      <w:r>
        <w:rPr>
          <w:rFonts w:ascii="仿宋_GB2312" w:hAnsi="仿宋" w:eastAsia="仿宋_GB2312"/>
          <w:kern w:val="0"/>
          <w:sz w:val="24"/>
        </w:rPr>
        <w:t>675617201@QQ.COM</w:t>
      </w:r>
      <w:r>
        <w:rPr>
          <w:rFonts w:hint="eastAsia" w:ascii="仿宋_GB2312" w:hAnsi="仿宋" w:eastAsia="仿宋_GB2312"/>
          <w:kern w:val="0"/>
          <w:sz w:val="24"/>
        </w:rPr>
        <w:t>。</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（6）逾期送达的投标文件，招标人将予以拒收。</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2、投标截止时间及递交地点如有变动，招标人将及时通过预留电话或预留电子邮箱通知所有已报名的潜在投标人。</w:t>
      </w:r>
    </w:p>
    <w:p>
      <w:pPr>
        <w:widowControl/>
        <w:spacing w:line="360" w:lineRule="auto"/>
        <w:ind w:firstLine="420" w:firstLineChars="200"/>
        <w:rPr>
          <w:rFonts w:ascii="仿宋_GB2312" w:hAnsi="仿宋" w:eastAsia="仿宋_GB2312"/>
          <w:kern w:val="0"/>
          <w:sz w:val="24"/>
        </w:rPr>
      </w:pPr>
      <w:r>
        <w:rPr>
          <w:rFonts w:hint="eastAsia"/>
        </w:rPr>
        <w:t xml:space="preserve"> </w:t>
      </w:r>
      <w:r>
        <w:rPr>
          <w:rFonts w:ascii="仿宋_GB2312" w:hAnsi="仿宋" w:eastAsia="仿宋_GB2312"/>
          <w:kern w:val="0"/>
          <w:sz w:val="24"/>
        </w:rPr>
        <w:t>3</w:t>
      </w:r>
      <w:r>
        <w:rPr>
          <w:rFonts w:hint="eastAsia" w:ascii="仿宋_GB2312" w:hAnsi="仿宋" w:eastAsia="仿宋_GB2312"/>
          <w:kern w:val="0"/>
          <w:sz w:val="24"/>
        </w:rPr>
        <w:t>、</w:t>
      </w:r>
      <w:r>
        <w:rPr>
          <w:rFonts w:ascii="仿宋_GB2312" w:hAnsi="仿宋" w:eastAsia="仿宋_GB2312"/>
          <w:kern w:val="0"/>
          <w:sz w:val="24"/>
        </w:rPr>
        <w:t>纸质标书邮寄地址：</w:t>
      </w:r>
      <w:r>
        <w:rPr>
          <w:rFonts w:hint="eastAsia" w:ascii="仿宋_GB2312" w:hAnsi="仿宋" w:eastAsia="仿宋_GB2312"/>
          <w:sz w:val="24"/>
        </w:rPr>
        <w:t>四川省成都市邛崃市天府新区半导体材料产业功能区羊横二路33号四川天成明超电缆有限公司，收件人：柳静，联系电话：1</w:t>
      </w:r>
      <w:r>
        <w:rPr>
          <w:rFonts w:ascii="仿宋_GB2312" w:hAnsi="仿宋" w:eastAsia="仿宋_GB2312"/>
          <w:sz w:val="24"/>
        </w:rPr>
        <w:t>3438052891</w:t>
      </w:r>
      <w:r>
        <w:rPr>
          <w:rFonts w:hint="eastAsia" w:ascii="仿宋_GB2312" w:hAnsi="仿宋" w:eastAsia="仿宋_GB2312"/>
          <w:kern w:val="0"/>
          <w:sz w:val="24"/>
        </w:rPr>
        <w:t>。</w:t>
      </w:r>
    </w:p>
    <w:p>
      <w:pPr>
        <w:keepNext/>
        <w:keepLines/>
        <w:spacing w:line="400" w:lineRule="exact"/>
        <w:ind w:firstLine="200"/>
        <w:outlineLvl w:val="1"/>
        <w:rPr>
          <w:rFonts w:ascii="仿宋_GB2312" w:hAnsi="仿宋" w:eastAsia="仿宋_GB2312" w:cs="Times New Roman"/>
          <w:b/>
          <w:bCs/>
          <w:kern w:val="0"/>
          <w:sz w:val="28"/>
          <w:szCs w:val="28"/>
        </w:rPr>
      </w:pPr>
      <w:bookmarkStart w:id="25" w:name="_Toc151390335"/>
      <w:r>
        <w:rPr>
          <w:rFonts w:hint="eastAsia" w:ascii="仿宋_GB2312" w:hAnsi="仿宋" w:eastAsia="仿宋_GB2312" w:cs="Times New Roman"/>
          <w:b/>
          <w:bCs/>
          <w:kern w:val="0"/>
          <w:sz w:val="28"/>
          <w:szCs w:val="28"/>
        </w:rPr>
        <w:t>六、评标办法</w:t>
      </w:r>
      <w:bookmarkEnd w:id="25"/>
    </w:p>
    <w:p>
      <w:pPr>
        <w:spacing w:line="400" w:lineRule="exact"/>
        <w:ind w:firstLine="480" w:firstLineChars="200"/>
        <w:rPr>
          <w:rFonts w:ascii="仿宋_GB2312" w:hAnsi="仿宋" w:eastAsia="仿宋_GB2312" w:cs="仿宋"/>
          <w:sz w:val="24"/>
        </w:rPr>
      </w:pPr>
      <w:r>
        <w:rPr>
          <w:rFonts w:hint="eastAsia" w:ascii="仿宋_GB2312" w:hAnsi="仿宋" w:eastAsia="仿宋_GB2312" w:cs="仿宋"/>
          <w:sz w:val="24"/>
        </w:rPr>
        <w:t>本次评审采用综合评估法对投标文件进行评审。</w:t>
      </w:r>
    </w:p>
    <w:bookmarkEnd w:id="22"/>
    <w:p>
      <w:pPr>
        <w:keepNext/>
        <w:keepLines/>
        <w:spacing w:line="400" w:lineRule="exact"/>
        <w:ind w:firstLine="200"/>
        <w:outlineLvl w:val="1"/>
        <w:rPr>
          <w:rFonts w:ascii="仿宋" w:hAnsi="仿宋" w:eastAsia="仿宋" w:cs="Times New Roman"/>
          <w:b/>
          <w:bCs/>
          <w:kern w:val="0"/>
          <w:sz w:val="28"/>
          <w:szCs w:val="28"/>
        </w:rPr>
      </w:pPr>
      <w:bookmarkStart w:id="26" w:name="_Toc79842619"/>
      <w:bookmarkStart w:id="27" w:name="_Toc151390336"/>
      <w:r>
        <w:rPr>
          <w:rFonts w:hint="eastAsia" w:ascii="仿宋" w:hAnsi="仿宋" w:eastAsia="仿宋" w:cs="Times New Roman"/>
          <w:b/>
          <w:bCs/>
          <w:kern w:val="0"/>
          <w:sz w:val="28"/>
          <w:szCs w:val="28"/>
        </w:rPr>
        <w:t>七、发布公告的媒介</w:t>
      </w:r>
      <w:bookmarkEnd w:id="23"/>
      <w:bookmarkEnd w:id="24"/>
      <w:bookmarkEnd w:id="26"/>
      <w:bookmarkEnd w:id="27"/>
    </w:p>
    <w:p>
      <w:pPr>
        <w:widowControl/>
        <w:spacing w:line="360" w:lineRule="auto"/>
        <w:ind w:firstLine="480" w:firstLineChars="200"/>
        <w:rPr>
          <w:rFonts w:ascii="仿宋" w:hAnsi="仿宋" w:eastAsia="仿宋" w:cs="Times New Roman"/>
          <w:kern w:val="0"/>
          <w:sz w:val="24"/>
        </w:rPr>
      </w:pPr>
      <w:bookmarkStart w:id="28" w:name="_Toc241901987"/>
      <w:bookmarkStart w:id="29" w:name="_Toc241902816"/>
      <w:r>
        <w:rPr>
          <w:rFonts w:hint="eastAsia" w:ascii="仿宋" w:hAnsi="仿宋" w:eastAsia="仿宋" w:cs="Arial"/>
          <w:kern w:val="0"/>
          <w:sz w:val="24"/>
        </w:rPr>
        <w:t>四川天成明超电缆有限公司官方网站</w:t>
      </w:r>
      <w:r>
        <w:rPr>
          <w:rFonts w:hint="eastAsia" w:ascii="仿宋_GB2312" w:hAnsi="仿宋" w:eastAsia="仿宋_GB2312" w:cs="楷体"/>
          <w:kern w:val="0"/>
          <w:sz w:val="24"/>
        </w:rPr>
        <w:t>（http://www.tcmcdl.cn/）</w:t>
      </w:r>
      <w:r>
        <w:rPr>
          <w:rFonts w:hint="eastAsia" w:ascii="仿宋" w:hAnsi="仿宋" w:eastAsia="仿宋" w:cs="Times New Roman"/>
          <w:kern w:val="0"/>
          <w:sz w:val="24"/>
        </w:rPr>
        <w:t>。</w:t>
      </w:r>
    </w:p>
    <w:p>
      <w:pPr>
        <w:keepNext/>
        <w:keepLines/>
        <w:spacing w:line="400" w:lineRule="exact"/>
        <w:ind w:firstLine="200"/>
        <w:outlineLvl w:val="1"/>
        <w:rPr>
          <w:rFonts w:ascii="仿宋" w:hAnsi="仿宋" w:eastAsia="仿宋" w:cs="Times New Roman"/>
          <w:b/>
          <w:bCs/>
          <w:kern w:val="0"/>
          <w:sz w:val="28"/>
          <w:szCs w:val="28"/>
        </w:rPr>
      </w:pPr>
      <w:bookmarkStart w:id="30" w:name="_Toc79842620"/>
      <w:bookmarkStart w:id="31" w:name="_Toc151390337"/>
      <w:r>
        <w:rPr>
          <w:rFonts w:hint="eastAsia" w:ascii="仿宋" w:hAnsi="仿宋" w:eastAsia="仿宋" w:cs="Times New Roman"/>
          <w:b/>
          <w:bCs/>
          <w:kern w:val="0"/>
          <w:sz w:val="28"/>
          <w:szCs w:val="28"/>
        </w:rPr>
        <w:t>八、联系方式</w:t>
      </w:r>
      <w:bookmarkEnd w:id="28"/>
      <w:bookmarkEnd w:id="29"/>
      <w:bookmarkEnd w:id="30"/>
      <w:bookmarkEnd w:id="31"/>
    </w:p>
    <w:p>
      <w:pPr>
        <w:spacing w:line="400" w:lineRule="exact"/>
        <w:ind w:firstLine="504" w:firstLineChars="210"/>
        <w:rPr>
          <w:rFonts w:ascii="仿宋" w:hAnsi="仿宋" w:eastAsia="仿宋"/>
          <w:sz w:val="24"/>
        </w:rPr>
      </w:pPr>
      <w:bookmarkStart w:id="32" w:name="_Toc31412"/>
      <w:r>
        <w:rPr>
          <w:rFonts w:hint="eastAsia" w:ascii="仿宋" w:hAnsi="仿宋" w:eastAsia="仿宋"/>
          <w:sz w:val="24"/>
        </w:rPr>
        <w:t>招标人联系人：翟贵军</w:t>
      </w:r>
    </w:p>
    <w:p>
      <w:pPr>
        <w:spacing w:line="400" w:lineRule="exact"/>
        <w:ind w:firstLine="504" w:firstLineChars="210"/>
        <w:rPr>
          <w:rFonts w:ascii="仿宋" w:hAnsi="仿宋" w:eastAsia="仿宋"/>
          <w:sz w:val="24"/>
        </w:rPr>
      </w:pPr>
      <w:r>
        <w:rPr>
          <w:rFonts w:ascii="仿宋" w:hAnsi="仿宋" w:eastAsia="仿宋"/>
          <w:sz w:val="24"/>
        </w:rPr>
        <w:t>联系电话：</w:t>
      </w:r>
      <w:r>
        <w:rPr>
          <w:rFonts w:hint="eastAsia" w:ascii="仿宋" w:hAnsi="仿宋" w:eastAsia="仿宋"/>
          <w:sz w:val="24"/>
        </w:rPr>
        <w:t>1</w:t>
      </w:r>
      <w:r>
        <w:rPr>
          <w:rFonts w:ascii="仿宋" w:hAnsi="仿宋" w:eastAsia="仿宋"/>
          <w:sz w:val="24"/>
        </w:rPr>
        <w:t>3888270125</w:t>
      </w:r>
    </w:p>
    <w:p>
      <w:pPr>
        <w:spacing w:line="400" w:lineRule="exact"/>
        <w:ind w:firstLine="504" w:firstLineChars="210"/>
        <w:rPr>
          <w:rFonts w:ascii="仿宋" w:hAnsi="仿宋" w:eastAsia="仿宋"/>
          <w:sz w:val="24"/>
          <w:u w:val="single"/>
        </w:rPr>
      </w:pPr>
      <w:r>
        <w:rPr>
          <w:rFonts w:hint="eastAsia" w:ascii="仿宋" w:hAnsi="仿宋" w:eastAsia="仿宋"/>
          <w:sz w:val="24"/>
        </w:rPr>
        <w:t>联系地址：四川省成都市邛崃市天府新区半导体材料产业功能区羊横二路33号</w:t>
      </w:r>
    </w:p>
    <w:p>
      <w:pPr>
        <w:pStyle w:val="2"/>
        <w:spacing w:before="0" w:after="0" w:line="400" w:lineRule="exact"/>
        <w:ind w:firstLine="200"/>
      </w:pPr>
      <w:bookmarkStart w:id="33" w:name="_Toc151390338"/>
      <w:r>
        <w:rPr>
          <w:rFonts w:hint="eastAsia"/>
        </w:rPr>
        <w:t>九、提出异议的渠道和方式</w:t>
      </w:r>
      <w:bookmarkEnd w:id="32"/>
      <w:bookmarkEnd w:id="33"/>
    </w:p>
    <w:p>
      <w:pPr>
        <w:spacing w:line="360" w:lineRule="auto"/>
        <w:ind w:firstLine="504" w:firstLineChars="210"/>
        <w:rPr>
          <w:rFonts w:ascii="仿宋" w:hAnsi="仿宋" w:eastAsia="仿宋"/>
          <w:sz w:val="24"/>
        </w:rPr>
      </w:pPr>
      <w:r>
        <w:rPr>
          <w:rFonts w:hint="eastAsia" w:ascii="仿宋" w:hAnsi="仿宋" w:eastAsia="仿宋"/>
          <w:sz w:val="24"/>
        </w:rPr>
        <w:t>电    话：</w:t>
      </w:r>
      <w:r>
        <w:rPr>
          <w:rFonts w:hint="eastAsia" w:ascii="仿宋" w:hAnsi="仿宋" w:eastAsia="仿宋"/>
          <w:sz w:val="24"/>
          <w:u w:val="single"/>
        </w:rPr>
        <w:t>1</w:t>
      </w:r>
      <w:r>
        <w:rPr>
          <w:rFonts w:ascii="仿宋" w:hAnsi="仿宋" w:eastAsia="仿宋"/>
          <w:sz w:val="24"/>
          <w:u w:val="single"/>
        </w:rPr>
        <w:t>3888270125</w:t>
      </w:r>
    </w:p>
    <w:p>
      <w:pPr>
        <w:widowControl/>
        <w:spacing w:line="400" w:lineRule="exact"/>
        <w:ind w:firstLine="420" w:firstLineChars="200"/>
        <w:rPr>
          <w:rFonts w:ascii="Times New Roman" w:hAnsi="Times New Roman" w:cs="Times New Roman"/>
        </w:rPr>
      </w:pPr>
    </w:p>
    <w:p>
      <w:pPr>
        <w:spacing w:line="400" w:lineRule="exact"/>
        <w:ind w:firstLine="504" w:firstLineChars="210"/>
        <w:jc w:val="right"/>
        <w:rPr>
          <w:rFonts w:ascii="Times New Roman" w:hAnsi="Times New Roman" w:cs="Times New Roman"/>
        </w:rPr>
        <w:sectPr>
          <w:footerReference r:id="rId4" w:type="default"/>
          <w:pgSz w:w="11906" w:h="16838"/>
          <w:pgMar w:top="1701" w:right="1418" w:bottom="1418" w:left="1418" w:header="851" w:footer="992" w:gutter="0"/>
          <w:pgNumType w:start="1"/>
          <w:cols w:space="720" w:num="1"/>
          <w:docGrid w:type="lines" w:linePitch="312" w:charSpace="0"/>
        </w:sectPr>
      </w:pPr>
      <w:r>
        <w:rPr>
          <w:rFonts w:hint="eastAsia" w:ascii="仿宋" w:hAnsi="仿宋" w:eastAsia="仿宋" w:cs="Times New Roman"/>
          <w:sz w:val="24"/>
        </w:rPr>
        <w:t xml:space="preserve">     </w:t>
      </w:r>
      <w:r>
        <w:rPr>
          <w:rFonts w:ascii="仿宋" w:hAnsi="仿宋" w:eastAsia="仿宋" w:cs="Times New Roman"/>
          <w:sz w:val="24"/>
        </w:rPr>
        <w:t>20</w:t>
      </w:r>
      <w:r>
        <w:rPr>
          <w:rFonts w:hint="eastAsia" w:ascii="仿宋" w:hAnsi="仿宋" w:eastAsia="仿宋" w:cs="Times New Roman"/>
          <w:sz w:val="24"/>
        </w:rPr>
        <w:t>2</w:t>
      </w:r>
      <w:r>
        <w:rPr>
          <w:rFonts w:ascii="仿宋" w:hAnsi="仿宋" w:eastAsia="仿宋" w:cs="Times New Roman"/>
          <w:sz w:val="24"/>
        </w:rPr>
        <w:t>3</w:t>
      </w:r>
      <w:r>
        <w:rPr>
          <w:rFonts w:hint="eastAsia" w:ascii="仿宋" w:hAnsi="仿宋" w:eastAsia="仿宋" w:cs="Times New Roman"/>
          <w:sz w:val="24"/>
        </w:rPr>
        <w:t>年11月</w:t>
      </w:r>
      <w:r>
        <w:rPr>
          <w:rFonts w:ascii="仿宋" w:hAnsi="仿宋" w:eastAsia="仿宋" w:cs="Times New Roman"/>
          <w:sz w:val="24"/>
        </w:rPr>
        <w:t>17</w:t>
      </w:r>
      <w:r>
        <w:rPr>
          <w:rFonts w:hint="eastAsia" w:ascii="仿宋" w:hAnsi="仿宋" w:eastAsia="仿宋" w:cs="Times New Roman"/>
          <w:sz w:val="24"/>
        </w:rPr>
        <w:t>日</w:t>
      </w:r>
    </w:p>
    <w:bookmarkEnd w:id="17"/>
    <w:p>
      <w:pPr>
        <w:pStyle w:val="3"/>
        <w:rPr>
          <w:color w:val="auto"/>
        </w:rPr>
      </w:pPr>
      <w:bookmarkStart w:id="34" w:name="_Toc151390339"/>
      <w:r>
        <w:rPr>
          <w:rFonts w:hint="eastAsia"/>
          <w:color w:val="auto"/>
        </w:rPr>
        <w:t>第二章  投标人须知</w:t>
      </w:r>
      <w:bookmarkEnd w:id="34"/>
    </w:p>
    <w:p>
      <w:pPr>
        <w:pStyle w:val="2"/>
        <w:jc w:val="center"/>
      </w:pPr>
      <w:bookmarkStart w:id="35" w:name="_Toc151390340"/>
      <w:r>
        <w:rPr>
          <w:rFonts w:hint="eastAsia"/>
        </w:rPr>
        <w:t>投标人须知前附表</w:t>
      </w:r>
      <w:bookmarkEnd w:id="35"/>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sz w:val="22"/>
                <w:szCs w:val="22"/>
              </w:rPr>
            </w:pPr>
            <w:r>
              <w:rPr>
                <w:rFonts w:hint="eastAsia" w:ascii="仿宋_GB2312" w:hAnsi="仿宋" w:eastAsia="仿宋_GB2312"/>
                <w:b/>
                <w:sz w:val="22"/>
                <w:szCs w:val="22"/>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sz w:val="22"/>
                <w:szCs w:val="22"/>
              </w:rPr>
            </w:pPr>
            <w:r>
              <w:rPr>
                <w:rFonts w:hint="eastAsia" w:ascii="仿宋_GB2312" w:hAnsi="仿宋" w:eastAsia="仿宋_GB2312"/>
                <w:b/>
                <w:sz w:val="22"/>
                <w:szCs w:val="22"/>
              </w:rPr>
              <w:t>条款名称</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sz w:val="22"/>
                <w:szCs w:val="22"/>
              </w:rPr>
            </w:pPr>
            <w:r>
              <w:rPr>
                <w:rFonts w:hint="eastAsia" w:ascii="仿宋_GB2312" w:hAnsi="仿宋" w:eastAsia="仿宋_GB2312"/>
                <w:b/>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1.1.2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招标人</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四川天成明超电缆有限公司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1.1.3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招标机构</w:t>
            </w:r>
          </w:p>
        </w:tc>
        <w:tc>
          <w:tcPr>
            <w:tcW w:w="5812" w:type="dxa"/>
          </w:tcPr>
          <w:p>
            <w:pPr>
              <w:spacing w:line="0" w:lineRule="atLeast"/>
              <w:rPr>
                <w:rFonts w:ascii="仿宋_GB2312" w:hAnsi="仿宋" w:eastAsia="仿宋_GB2312"/>
                <w:sz w:val="22"/>
                <w:szCs w:val="22"/>
              </w:rPr>
            </w:pPr>
            <w:r>
              <w:rPr>
                <w:rFonts w:hint="eastAsia" w:ascii="仿宋_GB2312" w:hAnsi="仿宋" w:eastAsia="仿宋_GB2312"/>
                <w:sz w:val="22"/>
                <w:szCs w:val="22"/>
              </w:rPr>
              <w:t>四川天成明超电缆有限公司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sz w:val="22"/>
                <w:szCs w:val="22"/>
              </w:rPr>
            </w:pPr>
            <w:r>
              <w:rPr>
                <w:rFonts w:hint="eastAsia" w:ascii="仿宋_GB2312" w:hAnsi="仿宋" w:eastAsia="仿宋_GB2312"/>
                <w:sz w:val="22"/>
                <w:szCs w:val="22"/>
              </w:rPr>
              <w:t>1.1.4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招标采购名称</w:t>
            </w:r>
          </w:p>
        </w:tc>
        <w:tc>
          <w:tcPr>
            <w:tcW w:w="5812" w:type="dxa"/>
          </w:tcPr>
          <w:p>
            <w:pPr>
              <w:spacing w:line="0" w:lineRule="atLeast"/>
              <w:rPr>
                <w:rFonts w:ascii="仿宋_GB2312" w:hAnsi="仿宋" w:eastAsia="仿宋_GB2312"/>
                <w:sz w:val="22"/>
                <w:szCs w:val="22"/>
              </w:rPr>
            </w:pPr>
            <w:r>
              <w:rPr>
                <w:rFonts w:hint="eastAsia" w:ascii="仿宋_GB2312" w:hAnsi="仿宋" w:eastAsia="仿宋_GB2312"/>
                <w:sz w:val="22"/>
                <w:szCs w:val="22"/>
              </w:rPr>
              <w:t>四川天成明超电缆有限公司2024年度物流运输服务项目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1.1.5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项目地点</w:t>
            </w:r>
          </w:p>
        </w:tc>
        <w:tc>
          <w:tcPr>
            <w:tcW w:w="5812" w:type="dxa"/>
          </w:tcPr>
          <w:p>
            <w:pPr>
              <w:spacing w:line="0" w:lineRule="atLeast"/>
              <w:rPr>
                <w:rFonts w:ascii="仿宋_GB2312" w:hAnsi="仿宋" w:eastAsia="仿宋_GB2312"/>
                <w:sz w:val="22"/>
                <w:szCs w:val="22"/>
              </w:rPr>
            </w:pPr>
            <w:r>
              <w:rPr>
                <w:rFonts w:hint="eastAsia" w:ascii="仿宋_GB2312" w:hAnsi="仿宋" w:eastAsia="仿宋_GB2312"/>
                <w:sz w:val="22"/>
                <w:szCs w:val="22"/>
              </w:rPr>
              <w:t>四川省成都市邛崃市天府新区半导体材料产业功能区羊横二路33号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1.2.1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资金来源</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1.2.2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资金落实情况</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1.3.1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招标范围</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四川天成明超电缆有限公司2024年度物流运输服务，标段一至标段五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1.3.2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服务时间</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4"/>
              </w:rPr>
              <w:t>2024年1月1日至2024年12月31日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1.3.3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服务地点</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四川省成都市邛崃市天府新区半导体材料产业功能区羊横二路33号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1.4.1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投标人资格要求</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1.4.2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是否接受联合体投标</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sz w:val="22"/>
                <w:szCs w:val="22"/>
              </w:rPr>
            </w:pPr>
            <w:r>
              <w:rPr>
                <w:rFonts w:hint="eastAsia" w:ascii="仿宋_GB2312" w:hAnsi="仿宋" w:eastAsia="仿宋_GB2312"/>
                <w:sz w:val="22"/>
                <w:szCs w:val="22"/>
              </w:rPr>
              <w:t>1.9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现场踏勘</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sym w:font="Wingdings 2" w:char="F052"/>
            </w:r>
            <w:r>
              <w:rPr>
                <w:rFonts w:hint="eastAsia" w:ascii="仿宋_GB2312" w:hAnsi="仿宋" w:eastAsia="仿宋_GB2312"/>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1.10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投标预备会</w:t>
            </w:r>
          </w:p>
        </w:tc>
        <w:tc>
          <w:tcPr>
            <w:tcW w:w="5812" w:type="dxa"/>
            <w:tcBorders>
              <w:bottom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sym w:font="Wingdings 2" w:char="F052"/>
            </w:r>
            <w:r>
              <w:rPr>
                <w:rFonts w:hint="eastAsia" w:ascii="仿宋_GB2312" w:hAnsi="仿宋" w:eastAsia="仿宋_GB2312"/>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sz w:val="22"/>
                <w:szCs w:val="22"/>
              </w:rPr>
            </w:pPr>
            <w:r>
              <w:rPr>
                <w:rFonts w:hint="eastAsia" w:ascii="仿宋_GB2312" w:hAnsi="仿宋" w:eastAsia="仿宋_GB2312"/>
                <w:sz w:val="22"/>
                <w:szCs w:val="22"/>
              </w:rPr>
              <w:t>2.2.1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投标人提出澄清的截止时间</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2023年11月</w:t>
            </w:r>
            <w:r>
              <w:rPr>
                <w:rFonts w:ascii="仿宋_GB2312" w:hAnsi="仿宋" w:eastAsia="仿宋_GB2312"/>
                <w:sz w:val="22"/>
                <w:szCs w:val="22"/>
              </w:rPr>
              <w:t>24</w:t>
            </w:r>
            <w:r>
              <w:rPr>
                <w:rFonts w:hint="eastAsia" w:ascii="仿宋_GB2312" w:hAnsi="仿宋" w:eastAsia="仿宋_GB2312"/>
                <w:sz w:val="22"/>
                <w:szCs w:val="22"/>
              </w:rPr>
              <w:t>日</w:t>
            </w:r>
            <w:r>
              <w:rPr>
                <w:rFonts w:ascii="仿宋_GB2312" w:hAnsi="仿宋" w:eastAsia="仿宋_GB2312"/>
                <w:sz w:val="22"/>
                <w:szCs w:val="22"/>
              </w:rPr>
              <w:t>24</w:t>
            </w:r>
            <w:r>
              <w:rPr>
                <w:rFonts w:hint="eastAsia" w:ascii="仿宋_GB2312" w:hAnsi="仿宋" w:eastAsia="仿宋_GB2312"/>
                <w:sz w:val="22"/>
                <w:szCs w:val="22"/>
              </w:rPr>
              <w:t>时00分前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2.2.2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招标人澄清答复的截止时间</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2023年11月</w:t>
            </w:r>
            <w:r>
              <w:rPr>
                <w:rFonts w:ascii="仿宋_GB2312" w:hAnsi="仿宋" w:eastAsia="仿宋_GB2312"/>
                <w:sz w:val="22"/>
                <w:szCs w:val="22"/>
              </w:rPr>
              <w:t>26</w:t>
            </w:r>
            <w:r>
              <w:rPr>
                <w:rFonts w:hint="eastAsia" w:ascii="仿宋_GB2312" w:hAnsi="仿宋" w:eastAsia="仿宋_GB2312"/>
                <w:sz w:val="22"/>
                <w:szCs w:val="22"/>
              </w:rPr>
              <w:t>日</w:t>
            </w:r>
            <w:r>
              <w:rPr>
                <w:rFonts w:ascii="仿宋_GB2312" w:hAnsi="仿宋" w:eastAsia="仿宋_GB2312"/>
                <w:sz w:val="22"/>
                <w:szCs w:val="22"/>
              </w:rPr>
              <w:t>24</w:t>
            </w:r>
            <w:r>
              <w:rPr>
                <w:rFonts w:hint="eastAsia" w:ascii="仿宋_GB2312" w:hAnsi="仿宋" w:eastAsia="仿宋_GB2312"/>
                <w:sz w:val="22"/>
                <w:szCs w:val="22"/>
              </w:rPr>
              <w:t>时00分前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2.3.1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对招标文件修改的截止时间</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2023年1</w:t>
            </w:r>
            <w:r>
              <w:rPr>
                <w:rFonts w:ascii="仿宋_GB2312" w:hAnsi="仿宋" w:eastAsia="仿宋_GB2312"/>
                <w:sz w:val="22"/>
                <w:szCs w:val="22"/>
              </w:rPr>
              <w:t>2</w:t>
            </w:r>
            <w:r>
              <w:rPr>
                <w:rFonts w:hint="eastAsia" w:ascii="仿宋_GB2312" w:hAnsi="仿宋" w:eastAsia="仿宋_GB2312"/>
                <w:sz w:val="22"/>
                <w:szCs w:val="22"/>
              </w:rPr>
              <w:t>月0</w:t>
            </w:r>
            <w:r>
              <w:rPr>
                <w:rFonts w:ascii="仿宋_GB2312" w:hAnsi="仿宋" w:eastAsia="仿宋_GB2312"/>
                <w:sz w:val="22"/>
                <w:szCs w:val="22"/>
              </w:rPr>
              <w:t>3</w:t>
            </w:r>
            <w:r>
              <w:rPr>
                <w:rFonts w:hint="eastAsia" w:ascii="仿宋_GB2312" w:hAnsi="仿宋" w:eastAsia="仿宋_GB2312"/>
                <w:sz w:val="22"/>
                <w:szCs w:val="22"/>
              </w:rPr>
              <w:t>日</w:t>
            </w:r>
            <w:r>
              <w:rPr>
                <w:rFonts w:ascii="仿宋_GB2312" w:hAnsi="仿宋" w:eastAsia="仿宋_GB2312"/>
                <w:sz w:val="22"/>
                <w:szCs w:val="22"/>
              </w:rPr>
              <w:t>24</w:t>
            </w:r>
            <w:r>
              <w:rPr>
                <w:rFonts w:hint="eastAsia" w:ascii="仿宋_GB2312" w:hAnsi="仿宋" w:eastAsia="仿宋_GB2312"/>
                <w:sz w:val="22"/>
                <w:szCs w:val="22"/>
              </w:rPr>
              <w:t>时00分前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3.2.3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投标报价要求</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本次投标若有优惠条件，需要在投标文件中体现。投标函中的投标报价与分项价格汇总表的合价应一致。</w:t>
            </w:r>
          </w:p>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投标报价应报固定价格，否则，投标文件将被拒绝。在合同有效期内合同价格不予调整，并不受市场成本或政策性上调等因素影响。</w:t>
            </w:r>
          </w:p>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投标人未填</w:t>
            </w:r>
            <w:r>
              <w:rPr>
                <w:rFonts w:hint="eastAsia" w:ascii="仿宋_GB2312" w:hAnsi="仿宋" w:eastAsia="仿宋_GB2312" w:cs="Times New Roman"/>
                <w:kern w:val="0"/>
                <w:sz w:val="22"/>
                <w:szCs w:val="22"/>
              </w:rPr>
              <w:t>价格</w:t>
            </w:r>
            <w:r>
              <w:rPr>
                <w:rFonts w:hint="eastAsia" w:ascii="仿宋_GB2312" w:hAnsi="仿宋" w:eastAsia="仿宋_GB2312" w:cs="Times New Roman"/>
                <w:kern w:val="0"/>
                <w:sz w:val="22"/>
                <w:szCs w:val="22"/>
                <w:lang w:val="zh-CN"/>
              </w:rPr>
              <w:t>的项目，招标人视为该项费用已包括在其它的单价或合价内，并在合同执行中不予支付。</w:t>
            </w:r>
          </w:p>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投标人应按招标文件中规定的报价表格式填报各项单价和合价以及报价汇总表。</w:t>
            </w:r>
          </w:p>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投标货币：投标表格和投标报价表内的价格应以人民币填写。</w:t>
            </w:r>
          </w:p>
          <w:p>
            <w:pPr>
              <w:widowControl/>
              <w:numPr>
                <w:ilvl w:val="0"/>
                <w:numId w:val="5"/>
              </w:numPr>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投标报价包含成本、利润、税金、装车、运输、卸货等一切费用等相关一切抵达</w:t>
            </w:r>
            <w:r>
              <w:rPr>
                <w:rFonts w:hint="eastAsia" w:ascii="仿宋_GB2312" w:hAnsi="仿宋" w:eastAsia="仿宋_GB2312" w:cs="Times New Roman"/>
                <w:kern w:val="0"/>
                <w:sz w:val="22"/>
                <w:szCs w:val="22"/>
              </w:rPr>
              <w:t>交货</w:t>
            </w:r>
            <w:r>
              <w:rPr>
                <w:rFonts w:hint="eastAsia" w:ascii="仿宋_GB2312" w:hAnsi="仿宋" w:eastAsia="仿宋_GB2312" w:cs="Times New Roman"/>
                <w:kern w:val="0"/>
                <w:sz w:val="22"/>
                <w:szCs w:val="22"/>
                <w:lang w:val="zh-CN"/>
              </w:rPr>
              <w:t>现场费用，提供增值税专用发票，报价中已包含增值税，并列明税率。</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1）投标报价，全国（不包含港澳台地区）按运输区域进行报价，区域日运输量按吨位以阶梯价报价，价格为固定价包含装车、运输、卸货等一切费用，合同期内将不再变更，报价为当前税率含税价格，如税率调整运费需按税率对应点数比进行调整。</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（2）账期：运输后，次月进行对账，白单回收完整按月结算，开票后1个月内付款。</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（3）结算方式：</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①银行承兑汇票：期限5个月。包含各类村镇银行。超过5个月按支付当天中国银行贴现率执行支付资金费用。</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②供应链金融产品：期限3个月。包含但不限于中企云链、云诺、云信、建信融通等平台；超过3个月按支付当天中国银行一年期贷款基准利率计算资金费用，由我司和供应商各自承担一半。</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hint="eastAsia" w:ascii="仿宋_GB2312" w:hAnsi="仿宋" w:eastAsia="仿宋_GB2312" w:cs="Times New Roman"/>
                <w:kern w:val="0"/>
                <w:sz w:val="22"/>
                <w:szCs w:val="22"/>
                <w:lang w:val="zh-CN"/>
              </w:rPr>
              <w:t>③非银行金融机构出具的承兑汇票：期限4个月。包含但不限于财务公司、信托等机构。超过4个月按支付当天中国银行一年期贷款基准利率计算资金费用，由我司和供应商各自承担一半。</w:t>
            </w:r>
          </w:p>
          <w:p>
            <w:pPr>
              <w:widowControl/>
              <w:autoSpaceDE w:val="0"/>
              <w:autoSpaceDN w:val="0"/>
              <w:adjustRightInd w:val="0"/>
              <w:spacing w:line="276" w:lineRule="auto"/>
              <w:jc w:val="left"/>
              <w:rPr>
                <w:rFonts w:ascii="仿宋_GB2312" w:hAnsi="仿宋" w:eastAsia="仿宋_GB2312" w:cs="Times New Roman"/>
                <w:kern w:val="0"/>
                <w:sz w:val="22"/>
                <w:szCs w:val="22"/>
                <w:lang w:val="zh-CN"/>
              </w:rPr>
            </w:pPr>
            <w:r>
              <w:rPr>
                <w:rFonts w:ascii="仿宋_GB2312" w:hAnsi="仿宋" w:eastAsia="仿宋_GB2312" w:cs="Times New Roman"/>
                <w:kern w:val="0"/>
                <w:sz w:val="22"/>
                <w:szCs w:val="22"/>
              </w:rPr>
              <w:t>7</w:t>
            </w:r>
            <w:r>
              <w:rPr>
                <w:rFonts w:hint="eastAsia" w:ascii="仿宋_GB2312" w:hAnsi="仿宋" w:eastAsia="仿宋_GB2312" w:cs="Times New Roman"/>
                <w:kern w:val="0"/>
                <w:sz w:val="22"/>
                <w:szCs w:val="22"/>
                <w:lang w:val="zh-CN"/>
              </w:rPr>
              <w:t>、投标参考价：自行报价，招标人不提供运输参考价。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sz w:val="22"/>
                <w:szCs w:val="22"/>
              </w:rPr>
            </w:pPr>
            <w:r>
              <w:rPr>
                <w:rFonts w:hint="eastAsia" w:ascii="仿宋_GB2312" w:hAnsi="仿宋" w:eastAsia="仿宋_GB2312"/>
                <w:sz w:val="22"/>
                <w:szCs w:val="22"/>
              </w:rPr>
              <w:t>3.3.1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2"/>
                <w:szCs w:val="22"/>
              </w:rPr>
            </w:pPr>
            <w:r>
              <w:rPr>
                <w:rFonts w:hint="eastAsia" w:ascii="仿宋_GB2312" w:hAnsi="仿宋" w:eastAsia="仿宋_GB2312"/>
                <w:sz w:val="22"/>
                <w:szCs w:val="22"/>
                <w:u w:val="single"/>
              </w:rPr>
              <w:t>90</w:t>
            </w:r>
            <w:r>
              <w:rPr>
                <w:rFonts w:hint="eastAsia" w:ascii="仿宋_GB2312" w:hAnsi="仿宋" w:eastAsia="仿宋_GB2312"/>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3.4.1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投标保证金</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仿宋_GB2312" w:hAnsi="仿宋" w:eastAsia="仿宋_GB2312" w:cstheme="minorBidi"/>
                <w:sz w:val="22"/>
                <w:szCs w:val="22"/>
              </w:rPr>
            </w:pPr>
            <w:r>
              <w:rPr>
                <w:rFonts w:hint="eastAsia" w:ascii="仿宋_GB2312" w:hAnsi="仿宋" w:eastAsia="仿宋_GB2312" w:cstheme="minorBidi"/>
                <w:sz w:val="22"/>
                <w:szCs w:val="22"/>
              </w:rPr>
              <w:t>金额：10000元</w:t>
            </w:r>
          </w:p>
          <w:p>
            <w:pPr>
              <w:autoSpaceDE w:val="0"/>
              <w:autoSpaceDN w:val="0"/>
              <w:adjustRightInd w:val="0"/>
              <w:spacing w:line="0" w:lineRule="atLeast"/>
              <w:rPr>
                <w:rFonts w:ascii="仿宋_GB2312" w:hAnsi="仿宋" w:eastAsia="仿宋_GB2312" w:cstheme="minorBidi"/>
                <w:sz w:val="22"/>
                <w:szCs w:val="22"/>
              </w:rPr>
            </w:pPr>
            <w:r>
              <w:rPr>
                <w:rFonts w:hint="eastAsia" w:ascii="仿宋_GB2312" w:hAnsi="仿宋" w:eastAsia="仿宋_GB2312" w:cstheme="minorBidi"/>
                <w:sz w:val="22"/>
                <w:szCs w:val="22"/>
              </w:rPr>
              <w:t>缴纳方式：由投标人基本户电汇</w:t>
            </w:r>
          </w:p>
          <w:p>
            <w:pPr>
              <w:autoSpaceDE w:val="0"/>
              <w:autoSpaceDN w:val="0"/>
              <w:adjustRightInd w:val="0"/>
              <w:spacing w:line="0" w:lineRule="atLeast"/>
              <w:rPr>
                <w:rFonts w:ascii="仿宋_GB2312" w:hAnsi="仿宋" w:eastAsia="仿宋_GB2312" w:cstheme="minorBidi"/>
                <w:sz w:val="22"/>
                <w:szCs w:val="22"/>
              </w:rPr>
            </w:pPr>
            <w:r>
              <w:rPr>
                <w:rFonts w:hint="eastAsia" w:ascii="仿宋_GB2312" w:hAnsi="仿宋" w:eastAsia="仿宋_GB2312" w:cstheme="minorBidi"/>
                <w:sz w:val="22"/>
                <w:szCs w:val="22"/>
              </w:rPr>
              <w:t>保证金账户</w:t>
            </w:r>
            <w:r>
              <w:rPr>
                <w:rFonts w:ascii="仿宋_GB2312" w:hAnsi="仿宋" w:eastAsia="仿宋_GB2312" w:cstheme="minorBidi"/>
                <w:sz w:val="22"/>
                <w:szCs w:val="22"/>
              </w:rPr>
              <w:t>名称：四川天成明超电缆有限公司</w:t>
            </w:r>
          </w:p>
          <w:p>
            <w:pPr>
              <w:autoSpaceDE w:val="0"/>
              <w:autoSpaceDN w:val="0"/>
              <w:adjustRightInd w:val="0"/>
              <w:spacing w:line="0" w:lineRule="atLeast"/>
              <w:rPr>
                <w:rFonts w:ascii="仿宋_GB2312" w:hAnsi="仿宋" w:eastAsia="仿宋_GB2312" w:cstheme="minorBidi"/>
                <w:sz w:val="22"/>
                <w:szCs w:val="22"/>
              </w:rPr>
            </w:pPr>
            <w:r>
              <w:rPr>
                <w:rFonts w:ascii="仿宋_GB2312" w:hAnsi="仿宋" w:eastAsia="仿宋_GB2312" w:cstheme="minorBidi"/>
                <w:sz w:val="22"/>
                <w:szCs w:val="22"/>
              </w:rPr>
              <w:t>开户行： 成都农村商业银行股份有限公司羊安支行</w:t>
            </w:r>
          </w:p>
          <w:p>
            <w:pPr>
              <w:autoSpaceDE w:val="0"/>
              <w:autoSpaceDN w:val="0"/>
              <w:adjustRightInd w:val="0"/>
              <w:spacing w:line="0" w:lineRule="atLeast"/>
              <w:rPr>
                <w:rFonts w:ascii="仿宋_GB2312" w:hAnsi="仿宋" w:eastAsia="仿宋_GB2312" w:cstheme="minorBidi"/>
                <w:sz w:val="22"/>
                <w:szCs w:val="22"/>
              </w:rPr>
            </w:pPr>
            <w:r>
              <w:rPr>
                <w:rFonts w:ascii="仿宋_GB2312" w:hAnsi="仿宋" w:eastAsia="仿宋_GB2312" w:cstheme="minorBidi"/>
                <w:sz w:val="22"/>
                <w:szCs w:val="22"/>
              </w:rPr>
              <w:t>账号：1000 0600 0769 8610</w:t>
            </w:r>
          </w:p>
          <w:p>
            <w:pPr>
              <w:autoSpaceDE w:val="0"/>
              <w:autoSpaceDN w:val="0"/>
              <w:adjustRightInd w:val="0"/>
              <w:spacing w:line="0" w:lineRule="atLeast"/>
              <w:rPr>
                <w:rFonts w:ascii="仿宋_GB2312" w:hAnsi="仿宋" w:eastAsia="仿宋_GB2312" w:cstheme="minorBidi"/>
                <w:sz w:val="22"/>
                <w:szCs w:val="22"/>
              </w:rPr>
            </w:pPr>
            <w:r>
              <w:rPr>
                <w:rFonts w:hint="eastAsia" w:ascii="仿宋_GB2312" w:hAnsi="仿宋" w:eastAsia="仿宋_GB2312" w:cstheme="minorBidi"/>
                <w:sz w:val="22"/>
                <w:szCs w:val="22"/>
              </w:rPr>
              <w:t>退还期限：未中标的投标人投标保证金，在招标人与中标人签定合同后10日内无息退还。</w:t>
            </w:r>
          </w:p>
          <w:p>
            <w:pPr>
              <w:autoSpaceDE w:val="0"/>
              <w:autoSpaceDN w:val="0"/>
              <w:adjustRightInd w:val="0"/>
              <w:spacing w:line="0" w:lineRule="atLeast"/>
              <w:rPr>
                <w:rFonts w:ascii="仿宋_GB2312" w:hAnsi="仿宋" w:eastAsia="仿宋_GB2312" w:cstheme="minorBidi"/>
                <w:sz w:val="22"/>
                <w:szCs w:val="22"/>
              </w:rPr>
            </w:pPr>
            <w:r>
              <w:rPr>
                <w:rFonts w:hint="eastAsia" w:ascii="仿宋_GB2312" w:hAnsi="仿宋" w:eastAsia="仿宋_GB2312" w:cstheme="minorBidi"/>
                <w:sz w:val="22"/>
                <w:szCs w:val="22"/>
              </w:rPr>
              <w:t>中标人的投标保证金自动转为履约保证金，其余部分以电汇形式补足履约保证金额度，在合作期满后无息退还。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资格审查资料</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仿宋_GB2312" w:hAnsi="仿宋" w:eastAsia="仿宋_GB2312" w:cstheme="minorBidi"/>
                <w:sz w:val="22"/>
                <w:szCs w:val="22"/>
                <w:lang w:val="zh-CN"/>
              </w:rPr>
            </w:pPr>
            <w:r>
              <w:rPr>
                <w:rFonts w:hint="eastAsia" w:ascii="仿宋_GB2312" w:hAnsi="仿宋" w:eastAsia="仿宋_GB2312" w:cstheme="minorBidi"/>
                <w:sz w:val="22"/>
                <w:szCs w:val="22"/>
                <w:lang w:val="zh-CN"/>
              </w:rPr>
              <w:t>以</w:t>
            </w:r>
            <w:r>
              <w:rPr>
                <w:rFonts w:hint="eastAsia" w:ascii="仿宋_GB2312" w:hAnsi="仿宋" w:eastAsia="仿宋_GB2312" w:cstheme="minorBidi"/>
                <w:sz w:val="22"/>
                <w:szCs w:val="22"/>
              </w:rPr>
              <w:t>招标</w:t>
            </w:r>
            <w:r>
              <w:rPr>
                <w:rFonts w:hint="eastAsia" w:ascii="仿宋_GB2312" w:hAnsi="仿宋" w:eastAsia="仿宋_GB2312" w:cstheme="minorBidi"/>
                <w:sz w:val="22"/>
                <w:szCs w:val="22"/>
                <w:lang w:val="zh-CN"/>
              </w:rPr>
              <w:t>公告中的“三、</w:t>
            </w:r>
            <w:r>
              <w:rPr>
                <w:rFonts w:hint="eastAsia" w:ascii="仿宋_GB2312" w:hAnsi="仿宋" w:eastAsia="仿宋_GB2312" w:cstheme="minorBidi"/>
                <w:sz w:val="22"/>
                <w:szCs w:val="22"/>
              </w:rPr>
              <w:t>投标人</w:t>
            </w:r>
            <w:r>
              <w:rPr>
                <w:rFonts w:hint="eastAsia" w:ascii="仿宋_GB2312" w:hAnsi="仿宋" w:eastAsia="仿宋_GB2312" w:cstheme="minorBidi"/>
                <w:sz w:val="22"/>
                <w:szCs w:val="22"/>
                <w:lang w:val="zh-CN"/>
              </w:rPr>
              <w:t>资格要求”所列为准。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3.5.2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财务情况表</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仿宋_GB2312" w:hAnsi="仿宋" w:eastAsia="仿宋_GB2312" w:cstheme="minorBidi"/>
                <w:sz w:val="22"/>
                <w:szCs w:val="22"/>
                <w:lang w:val="zh-CN"/>
              </w:rPr>
            </w:pPr>
            <w:r>
              <w:rPr>
                <w:rFonts w:hint="eastAsia" w:ascii="仿宋_GB2312" w:hAnsi="仿宋" w:eastAsia="仿宋_GB2312" w:cstheme="minorBidi"/>
                <w:sz w:val="22"/>
                <w:szCs w:val="22"/>
                <w:lang w:val="zh-CN"/>
              </w:rPr>
              <w:t>提供近3年各年度的会计财务</w:t>
            </w:r>
            <w:r>
              <w:rPr>
                <w:rFonts w:hint="eastAsia" w:ascii="仿宋_GB2312" w:hAnsi="仿宋" w:eastAsia="仿宋_GB2312" w:cstheme="minorBidi"/>
                <w:sz w:val="22"/>
                <w:szCs w:val="22"/>
              </w:rPr>
              <w:t>报表（如有），包括资产负债表、</w:t>
            </w:r>
            <w:r>
              <w:rPr>
                <w:rFonts w:hint="eastAsia" w:ascii="仿宋_GB2312" w:hAnsi="仿宋" w:eastAsia="仿宋_GB2312" w:cstheme="minorBidi"/>
                <w:sz w:val="22"/>
                <w:szCs w:val="22"/>
                <w:lang w:val="zh-CN"/>
              </w:rPr>
              <w:t>现金流量表、损益表、审计报告等。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3.5.3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业绩情况表</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left"/>
              <w:rPr>
                <w:rFonts w:ascii="仿宋_GB2312" w:hAnsi="仿宋" w:eastAsia="仿宋_GB2312" w:cstheme="minorBidi"/>
                <w:sz w:val="22"/>
                <w:szCs w:val="22"/>
                <w:lang w:val="zh-CN"/>
              </w:rPr>
            </w:pPr>
            <w:r>
              <w:rPr>
                <w:rFonts w:hint="eastAsia" w:ascii="仿宋_GB2312" w:hAnsi="仿宋" w:eastAsia="仿宋_GB2312" w:cstheme="minorBidi"/>
                <w:sz w:val="22"/>
                <w:szCs w:val="22"/>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3.5.5</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诉讼及仲裁情况</w:t>
            </w:r>
          </w:p>
        </w:tc>
        <w:tc>
          <w:tcPr>
            <w:tcW w:w="5812" w:type="dxa"/>
            <w:vAlign w:val="center"/>
          </w:tcPr>
          <w:p>
            <w:pPr>
              <w:spacing w:line="0" w:lineRule="atLeast"/>
              <w:rPr>
                <w:rFonts w:ascii="仿宋_GB2312" w:hAnsi="仿宋" w:eastAsia="仿宋_GB2312" w:cs="楷体"/>
                <w:kern w:val="0"/>
                <w:sz w:val="22"/>
                <w:szCs w:val="22"/>
              </w:rPr>
            </w:pPr>
            <w:r>
              <w:rPr>
                <w:rFonts w:hint="eastAsia" w:ascii="仿宋_GB2312" w:hAnsi="仿宋" w:eastAsia="仿宋_GB2312" w:cs="楷体"/>
                <w:kern w:val="0"/>
                <w:sz w:val="22"/>
                <w:szCs w:val="22"/>
                <w:lang w:val="zh-CN"/>
              </w:rPr>
              <w:t>近3年，投标文件截止之日前3年。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3.6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2"/>
                <w:szCs w:val="22"/>
              </w:rPr>
            </w:pPr>
            <w:r>
              <w:rPr>
                <w:rFonts w:hint="eastAsia" w:ascii="仿宋_GB2312" w:hAnsi="仿宋" w:eastAsia="仿宋_GB2312"/>
                <w:sz w:val="22"/>
                <w:szCs w:val="22"/>
              </w:rPr>
              <w:t>是否允许递交备选方案</w:t>
            </w:r>
          </w:p>
        </w:tc>
        <w:tc>
          <w:tcPr>
            <w:tcW w:w="5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sz w:val="22"/>
                <w:szCs w:val="22"/>
              </w:rPr>
            </w:pPr>
            <w:r>
              <w:rPr>
                <w:rFonts w:hint="eastAsia" w:ascii="仿宋_GB2312" w:hAnsi="仿宋" w:eastAsia="仿宋_GB2312" w:cs="楷体"/>
                <w:kern w:val="0"/>
                <w:sz w:val="22"/>
                <w:szCs w:val="22"/>
              </w:rPr>
              <w:sym w:font="Wingdings 2" w:char="F052"/>
            </w:r>
            <w:r>
              <w:rPr>
                <w:rFonts w:hint="eastAsia" w:ascii="仿宋_GB2312" w:hAnsi="仿宋" w:eastAsia="仿宋_GB2312" w:cs="楷体"/>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仿宋_GB2312" w:hAnsi="仿宋" w:eastAsia="仿宋_GB2312"/>
                <w:sz w:val="22"/>
                <w:szCs w:val="22"/>
              </w:rPr>
            </w:pPr>
            <w:r>
              <w:rPr>
                <w:rFonts w:hint="eastAsia" w:ascii="仿宋_GB2312" w:hAnsi="仿宋" w:eastAsia="仿宋_GB2312"/>
                <w:sz w:val="22"/>
                <w:szCs w:val="22"/>
              </w:rPr>
              <w:t>3.7.3</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签字或盖章要求</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投标文件封面盖单位章，开口处盖骑缝章，投标文件内容按招标文件中投标文件格式要求签字并</w:t>
            </w:r>
            <w:r>
              <w:rPr>
                <w:rFonts w:hint="eastAsia" w:ascii="仿宋_GB2312" w:hAnsi="仿宋" w:eastAsia="仿宋_GB2312"/>
                <w:b/>
                <w:bCs/>
                <w:sz w:val="22"/>
                <w:szCs w:val="22"/>
              </w:rPr>
              <w:t>逐页</w:t>
            </w:r>
            <w:r>
              <w:rPr>
                <w:rFonts w:hint="eastAsia" w:ascii="仿宋_GB2312" w:hAnsi="仿宋" w:eastAsia="仿宋_GB2312"/>
                <w:sz w:val="22"/>
                <w:szCs w:val="2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仿宋_GB2312" w:hAnsi="仿宋" w:eastAsia="仿宋_GB2312"/>
                <w:sz w:val="22"/>
                <w:szCs w:val="22"/>
              </w:rPr>
            </w:pP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投标文件份数</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正本1份，副本2份，投标文件封面应明确标记“正本 或副本”。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仿宋_GB2312" w:hAnsi="仿宋" w:eastAsia="仿宋_GB2312"/>
                <w:sz w:val="22"/>
                <w:szCs w:val="22"/>
              </w:rPr>
            </w:pP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投标文件的密封</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最外层密封包装应贴封条，封口处盖单位章或密封章</w:t>
            </w:r>
          </w:p>
          <w:p>
            <w:pPr>
              <w:spacing w:line="0" w:lineRule="atLeast"/>
              <w:rPr>
                <w:rFonts w:ascii="仿宋_GB2312" w:hAnsi="仿宋" w:eastAsia="仿宋_GB2312"/>
                <w:sz w:val="22"/>
                <w:szCs w:val="22"/>
              </w:rPr>
            </w:pPr>
            <w:r>
              <w:rPr>
                <w:rFonts w:hint="eastAsia" w:ascii="仿宋_GB2312" w:hAnsi="仿宋" w:eastAsia="仿宋_GB2312"/>
                <w:sz w:val="22"/>
                <w:szCs w:val="22"/>
              </w:rPr>
              <w:t>封套应写明以下信息：</w:t>
            </w:r>
          </w:p>
          <w:p>
            <w:pPr>
              <w:spacing w:line="0" w:lineRule="atLeast"/>
              <w:jc w:val="center"/>
              <w:rPr>
                <w:rFonts w:ascii="仿宋_GB2312" w:hAnsi="仿宋" w:eastAsia="仿宋_GB2312"/>
                <w:sz w:val="22"/>
                <w:szCs w:val="22"/>
              </w:rPr>
            </w:pPr>
            <w:r>
              <w:rPr>
                <w:rFonts w:hint="eastAsia" w:ascii="仿宋_GB2312" w:hAnsi="仿宋" w:eastAsia="仿宋_GB2312"/>
                <w:sz w:val="22"/>
                <w:szCs w:val="22"/>
              </w:rPr>
              <w:t>项目名称：</w:t>
            </w:r>
          </w:p>
          <w:p>
            <w:pPr>
              <w:spacing w:line="0" w:lineRule="atLeast"/>
              <w:jc w:val="center"/>
              <w:rPr>
                <w:rFonts w:ascii="仿宋_GB2312" w:hAnsi="仿宋" w:eastAsia="仿宋_GB2312"/>
                <w:sz w:val="22"/>
                <w:szCs w:val="22"/>
              </w:rPr>
            </w:pPr>
            <w:r>
              <w:rPr>
                <w:rFonts w:hint="eastAsia" w:ascii="仿宋_GB2312" w:hAnsi="仿宋" w:eastAsia="仿宋_GB2312"/>
                <w:sz w:val="22"/>
                <w:szCs w:val="22"/>
              </w:rPr>
              <w:t>投标人名称：</w:t>
            </w:r>
          </w:p>
          <w:p>
            <w:pPr>
              <w:spacing w:line="0" w:lineRule="atLeast"/>
              <w:jc w:val="center"/>
              <w:rPr>
                <w:rFonts w:ascii="仿宋_GB2312" w:hAnsi="仿宋" w:eastAsia="仿宋_GB2312"/>
                <w:sz w:val="22"/>
                <w:szCs w:val="22"/>
              </w:rPr>
            </w:pPr>
            <w:r>
              <w:rPr>
                <w:rFonts w:hint="eastAsia" w:ascii="仿宋_GB2312" w:hAnsi="仿宋" w:eastAsia="仿宋_GB2312"/>
                <w:sz w:val="22"/>
                <w:szCs w:val="22"/>
              </w:rPr>
              <w:t>投标文件</w:t>
            </w:r>
          </w:p>
          <w:p>
            <w:pPr>
              <w:spacing w:line="0" w:lineRule="atLeast"/>
              <w:jc w:val="center"/>
              <w:rPr>
                <w:rFonts w:ascii="仿宋_GB2312" w:hAnsi="仿宋" w:eastAsia="仿宋_GB2312"/>
                <w:sz w:val="22"/>
                <w:szCs w:val="22"/>
              </w:rPr>
            </w:pPr>
            <w:r>
              <w:rPr>
                <w:rFonts w:hint="eastAsia" w:ascii="仿宋_GB2312" w:hAnsi="仿宋" w:eastAsia="仿宋_GB2312"/>
                <w:sz w:val="22"/>
                <w:szCs w:val="22"/>
              </w:rPr>
              <w:t>于（2023年1</w:t>
            </w:r>
            <w:r>
              <w:rPr>
                <w:rFonts w:ascii="仿宋_GB2312" w:hAnsi="仿宋" w:eastAsia="仿宋_GB2312"/>
                <w:sz w:val="22"/>
                <w:szCs w:val="22"/>
              </w:rPr>
              <w:t>2</w:t>
            </w:r>
            <w:r>
              <w:rPr>
                <w:rFonts w:hint="eastAsia" w:ascii="仿宋_GB2312" w:hAnsi="仿宋" w:eastAsia="仿宋_GB2312"/>
                <w:sz w:val="22"/>
                <w:szCs w:val="22"/>
              </w:rPr>
              <w:t>月</w:t>
            </w:r>
            <w:r>
              <w:rPr>
                <w:rFonts w:ascii="仿宋_GB2312" w:hAnsi="仿宋" w:eastAsia="仿宋_GB2312"/>
                <w:sz w:val="22"/>
                <w:szCs w:val="22"/>
              </w:rPr>
              <w:t>4</w:t>
            </w:r>
            <w:r>
              <w:rPr>
                <w:rFonts w:hint="eastAsia" w:ascii="仿宋_GB2312" w:hAnsi="仿宋" w:eastAsia="仿宋_GB2312"/>
                <w:sz w:val="22"/>
                <w:szCs w:val="22"/>
              </w:rPr>
              <w:t>日1</w:t>
            </w:r>
            <w:r>
              <w:rPr>
                <w:rFonts w:ascii="仿宋_GB2312" w:hAnsi="仿宋" w:eastAsia="仿宋_GB2312"/>
                <w:sz w:val="22"/>
                <w:szCs w:val="22"/>
              </w:rPr>
              <w:t>0</w:t>
            </w:r>
            <w:r>
              <w:rPr>
                <w:rFonts w:hint="eastAsia" w:ascii="仿宋_GB2312" w:hAnsi="仿宋" w:eastAsia="仿宋_GB2312"/>
                <w:sz w:val="22"/>
                <w:szCs w:val="22"/>
              </w:rPr>
              <w:t>:00点）之前不得启封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4.1.2</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投标文件</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纸质投标文件应采用不褪色的A4纸打印装订，选用胶装，不得采用活页封装；</w:t>
            </w:r>
          </w:p>
          <w:p>
            <w:pPr>
              <w:spacing w:line="0" w:lineRule="atLeast"/>
              <w:rPr>
                <w:rFonts w:ascii="仿宋_GB2312" w:hAnsi="仿宋" w:eastAsia="仿宋_GB2312"/>
                <w:sz w:val="22"/>
                <w:szCs w:val="22"/>
              </w:rPr>
            </w:pPr>
            <w:r>
              <w:rPr>
                <w:rFonts w:hint="eastAsia" w:ascii="仿宋_GB2312" w:hAnsi="仿宋" w:eastAsia="仿宋_GB2312"/>
                <w:sz w:val="22"/>
                <w:szCs w:val="22"/>
              </w:rPr>
              <w:t>电子投标文件为签字盖章后的投标文件的完整彩色扫描件及可编辑版本的word文档，当纸质文件与电子文件不一致时，以纸质正本投标文件为准。电子投标文件命名格式为：（项目名称）-商务标、价格标，（项目名称）-技术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4.2.1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递交投标文件的截止时间和地点</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详见招标公告五、投标文件的递交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4.2.2</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是否退还投标文件</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5.1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开标时间和地点</w:t>
            </w:r>
          </w:p>
        </w:tc>
        <w:tc>
          <w:tcPr>
            <w:tcW w:w="5812" w:type="dxa"/>
            <w:vAlign w:val="center"/>
          </w:tcPr>
          <w:p>
            <w:pPr>
              <w:widowControl/>
              <w:spacing w:line="276" w:lineRule="auto"/>
              <w:jc w:val="left"/>
              <w:rPr>
                <w:rFonts w:ascii="仿宋_GB2312" w:hAnsi="仿宋" w:eastAsia="仿宋_GB2312"/>
                <w:sz w:val="22"/>
                <w:szCs w:val="22"/>
              </w:rPr>
            </w:pPr>
            <w:r>
              <w:rPr>
                <w:rFonts w:hint="eastAsia" w:ascii="仿宋_GB2312" w:hAnsi="仿宋" w:eastAsia="仿宋_GB2312"/>
                <w:sz w:val="22"/>
                <w:szCs w:val="22"/>
              </w:rPr>
              <w:t>开标时间：同投标截止时间</w:t>
            </w:r>
          </w:p>
          <w:p>
            <w:pPr>
              <w:spacing w:line="0" w:lineRule="atLeast"/>
              <w:rPr>
                <w:rFonts w:ascii="仿宋_GB2312" w:hAnsi="仿宋" w:eastAsia="仿宋_GB2312"/>
                <w:sz w:val="22"/>
                <w:szCs w:val="22"/>
              </w:rPr>
            </w:pPr>
            <w:r>
              <w:rPr>
                <w:rFonts w:hint="eastAsia" w:ascii="仿宋_GB2312" w:hAnsi="仿宋" w:eastAsia="仿宋_GB2312"/>
                <w:sz w:val="22"/>
                <w:szCs w:val="22"/>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6.3</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评标方法</w:t>
            </w:r>
          </w:p>
        </w:tc>
        <w:tc>
          <w:tcPr>
            <w:tcW w:w="5812" w:type="dxa"/>
            <w:vAlign w:val="center"/>
          </w:tcPr>
          <w:p>
            <w:pPr>
              <w:spacing w:line="0" w:lineRule="atLeast"/>
              <w:rPr>
                <w:rFonts w:ascii="仿宋_GB2312" w:hAnsi="仿宋" w:eastAsia="仿宋_GB2312"/>
                <w:sz w:val="22"/>
                <w:szCs w:val="22"/>
              </w:rPr>
            </w:pPr>
            <w:r>
              <w:rPr>
                <w:rFonts w:hint="eastAsia" w:ascii="仿宋_GB2312" w:hAnsi="仿宋" w:eastAsia="仿宋_GB2312"/>
                <w:sz w:val="22"/>
                <w:szCs w:val="22"/>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6.3.2</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中标候选人数量</w:t>
            </w:r>
          </w:p>
        </w:tc>
        <w:tc>
          <w:tcPr>
            <w:tcW w:w="5812" w:type="dxa"/>
            <w:vAlign w:val="center"/>
          </w:tcPr>
          <w:p>
            <w:pPr>
              <w:rPr>
                <w:rFonts w:ascii="仿宋_GB2312" w:hAnsi="仿宋" w:eastAsia="仿宋_GB2312"/>
                <w:sz w:val="22"/>
                <w:szCs w:val="22"/>
              </w:rPr>
            </w:pPr>
            <w:r>
              <w:rPr>
                <w:rFonts w:hint="eastAsia" w:ascii="仿宋_GB2312" w:hAnsi="仿宋" w:eastAsia="仿宋_GB2312"/>
                <w:sz w:val="22"/>
                <w:szCs w:val="22"/>
              </w:rPr>
              <w:t>投标人应对所有标段进行报价，每个标段推荐2</w:t>
            </w:r>
            <w:r>
              <w:rPr>
                <w:rFonts w:ascii="仿宋_GB2312" w:hAnsi="仿宋" w:eastAsia="仿宋_GB2312"/>
                <w:sz w:val="22"/>
                <w:szCs w:val="22"/>
              </w:rPr>
              <w:t>-3</w:t>
            </w:r>
            <w:r>
              <w:rPr>
                <w:rFonts w:hint="eastAsia" w:ascii="仿宋_GB2312" w:hAnsi="仿宋" w:eastAsia="仿宋_GB2312"/>
                <w:sz w:val="22"/>
                <w:szCs w:val="22"/>
              </w:rPr>
              <w:t>名中标候选人，每个投标人可中选多个标段。投标人中标后，招标方有权再对中标候选人的价格进行二轮竞价谈判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6</w:t>
            </w:r>
            <w:r>
              <w:rPr>
                <w:rFonts w:ascii="仿宋_GB2312" w:hAnsi="仿宋" w:eastAsia="仿宋_GB2312"/>
                <w:sz w:val="22"/>
                <w:szCs w:val="22"/>
              </w:rPr>
              <w:t>.3.3</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中标候选人份额</w:t>
            </w:r>
          </w:p>
        </w:tc>
        <w:tc>
          <w:tcPr>
            <w:tcW w:w="5812" w:type="dxa"/>
            <w:vAlign w:val="center"/>
          </w:tcPr>
          <w:p>
            <w:pPr>
              <w:rPr>
                <w:rFonts w:ascii="仿宋_GB2312" w:hAnsi="仿宋" w:eastAsia="仿宋_GB2312"/>
                <w:sz w:val="22"/>
                <w:szCs w:val="22"/>
              </w:rPr>
            </w:pPr>
            <w:r>
              <w:rPr>
                <w:rFonts w:hint="eastAsia" w:ascii="仿宋_GB2312" w:hAnsi="仿宋" w:eastAsia="仿宋_GB2312"/>
                <w:sz w:val="22"/>
                <w:szCs w:val="22"/>
              </w:rPr>
              <w:t>第一名份额为该标段总量7</w:t>
            </w:r>
            <w:r>
              <w:rPr>
                <w:rFonts w:ascii="仿宋_GB2312" w:hAnsi="仿宋" w:eastAsia="仿宋_GB2312"/>
                <w:sz w:val="22"/>
                <w:szCs w:val="22"/>
              </w:rPr>
              <w:t>0%，第二名份额为该标段总量</w:t>
            </w:r>
            <w:r>
              <w:rPr>
                <w:rFonts w:hint="eastAsia" w:ascii="仿宋_GB2312" w:hAnsi="仿宋" w:eastAsia="仿宋_GB2312"/>
                <w:sz w:val="22"/>
                <w:szCs w:val="22"/>
              </w:rPr>
              <w:t>2</w:t>
            </w:r>
            <w:r>
              <w:rPr>
                <w:rFonts w:ascii="仿宋_GB2312" w:hAnsi="仿宋" w:eastAsia="仿宋_GB2312"/>
                <w:sz w:val="22"/>
                <w:szCs w:val="22"/>
              </w:rPr>
              <w:t>0%，第三名份额为该标段</w:t>
            </w:r>
            <w:r>
              <w:rPr>
                <w:rFonts w:hint="eastAsia" w:ascii="仿宋_GB2312" w:hAnsi="仿宋" w:eastAsia="仿宋_GB2312"/>
                <w:sz w:val="22"/>
                <w:szCs w:val="22"/>
              </w:rPr>
              <w:t>1</w:t>
            </w:r>
            <w:r>
              <w:rPr>
                <w:rFonts w:ascii="仿宋_GB2312" w:hAnsi="仿宋" w:eastAsia="仿宋_GB2312"/>
                <w:sz w:val="22"/>
                <w:szCs w:val="22"/>
              </w:rPr>
              <w:t>0%。中标候选人如有弃标的，招标方根据评标结果顺位排序向新任中标候选人发出书面中标邀请，并有权要求新任中标候选人按招标方提供价格认价。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7.1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行贿犯罪记录查询</w:t>
            </w:r>
          </w:p>
        </w:tc>
        <w:tc>
          <w:tcPr>
            <w:tcW w:w="5812" w:type="dxa"/>
            <w:vAlign w:val="center"/>
          </w:tcPr>
          <w:p>
            <w:pPr>
              <w:rPr>
                <w:rFonts w:ascii="仿宋_GB2312" w:hAnsi="仿宋" w:eastAsia="仿宋_GB2312"/>
                <w:sz w:val="22"/>
                <w:szCs w:val="22"/>
              </w:rPr>
            </w:pPr>
            <w:r>
              <w:rPr>
                <w:rFonts w:hint="eastAsia" w:ascii="仿宋_GB2312" w:hAnsi="仿宋" w:eastAsia="仿宋_GB2312"/>
                <w:sz w:val="22"/>
                <w:szCs w:val="22"/>
              </w:rPr>
              <w:t>提供中国裁判文书网查询单位法定代表人近三年的行贿犯罪记录查询截图。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7.4.1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sz w:val="22"/>
                <w:szCs w:val="22"/>
              </w:rPr>
              <w:t>履约担保</w:t>
            </w:r>
          </w:p>
        </w:tc>
        <w:tc>
          <w:tcPr>
            <w:tcW w:w="5812" w:type="dxa"/>
            <w:vAlign w:val="center"/>
          </w:tcPr>
          <w:p>
            <w:pPr>
              <w:widowControl/>
              <w:spacing w:line="276" w:lineRule="auto"/>
              <w:jc w:val="left"/>
              <w:rPr>
                <w:rFonts w:ascii="仿宋_GB2312" w:hAnsi="仿宋" w:eastAsia="仿宋_GB2312"/>
                <w:sz w:val="22"/>
                <w:szCs w:val="22"/>
              </w:rPr>
            </w:pPr>
            <w:r>
              <w:rPr>
                <w:rFonts w:hint="eastAsia" w:ascii="仿宋_GB2312" w:hAnsi="仿宋" w:eastAsia="仿宋_GB2312"/>
                <w:sz w:val="22"/>
                <w:szCs w:val="22"/>
              </w:rPr>
              <w:t>履约担保的形式：保证金、电汇</w:t>
            </w:r>
          </w:p>
          <w:p>
            <w:pPr>
              <w:autoSpaceDE w:val="0"/>
              <w:autoSpaceDN w:val="0"/>
              <w:adjustRightInd w:val="0"/>
              <w:rPr>
                <w:rFonts w:ascii="仿宋_GB2312" w:hAnsi="仿宋" w:eastAsia="仿宋_GB2312"/>
                <w:sz w:val="22"/>
                <w:szCs w:val="22"/>
              </w:rPr>
            </w:pPr>
            <w:r>
              <w:rPr>
                <w:rFonts w:hint="eastAsia" w:ascii="仿宋_GB2312" w:hAnsi="仿宋" w:eastAsia="仿宋_GB2312"/>
                <w:sz w:val="22"/>
                <w:szCs w:val="22"/>
              </w:rPr>
              <w:t>履约担保的金额：每个标段第一名30万元、第二名1</w:t>
            </w:r>
            <w:r>
              <w:rPr>
                <w:rFonts w:ascii="仿宋_GB2312" w:hAnsi="仿宋" w:eastAsia="仿宋_GB2312"/>
                <w:sz w:val="22"/>
                <w:szCs w:val="22"/>
              </w:rPr>
              <w:t>5万元、第三名</w:t>
            </w:r>
            <w:r>
              <w:rPr>
                <w:rFonts w:hint="eastAsia" w:ascii="仿宋_GB2312" w:hAnsi="仿宋" w:eastAsia="仿宋_GB2312"/>
                <w:sz w:val="22"/>
                <w:szCs w:val="22"/>
              </w:rPr>
              <w:t>1</w:t>
            </w:r>
            <w:r>
              <w:rPr>
                <w:rFonts w:ascii="仿宋_GB2312" w:hAnsi="仿宋" w:eastAsia="仿宋_GB2312"/>
                <w:sz w:val="22"/>
                <w:szCs w:val="22"/>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10</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是否采购用电子招标投标</w:t>
            </w:r>
          </w:p>
        </w:tc>
        <w:tc>
          <w:tcPr>
            <w:tcW w:w="5812" w:type="dxa"/>
            <w:vAlign w:val="center"/>
          </w:tcPr>
          <w:p>
            <w:pPr>
              <w:widowControl/>
              <w:spacing w:line="276" w:lineRule="auto"/>
              <w:jc w:val="left"/>
              <w:rPr>
                <w:rFonts w:ascii="仿宋_GB2312" w:hAnsi="仿宋" w:eastAsia="仿宋_GB2312"/>
                <w:sz w:val="22"/>
                <w:szCs w:val="22"/>
              </w:rPr>
            </w:pPr>
            <w:r>
              <w:rPr>
                <w:rFonts w:hint="eastAsia" w:ascii="仿宋_GB2312" w:hAnsi="仿宋" w:eastAsia="仿宋_GB2312" w:cs="楷体"/>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11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需要补充的其他内容</w:t>
            </w:r>
          </w:p>
        </w:tc>
        <w:tc>
          <w:tcPr>
            <w:tcW w:w="5812" w:type="dxa"/>
            <w:vAlign w:val="center"/>
          </w:tcPr>
          <w:p>
            <w:pPr>
              <w:widowControl/>
              <w:spacing w:line="276" w:lineRule="auto"/>
              <w:jc w:val="left"/>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11.1</w:t>
            </w:r>
          </w:p>
        </w:tc>
        <w:tc>
          <w:tcPr>
            <w:tcW w:w="2268" w:type="dxa"/>
            <w:vAlign w:val="center"/>
          </w:tcPr>
          <w:p>
            <w:pPr>
              <w:jc w:val="center"/>
              <w:rPr>
                <w:rFonts w:ascii="仿宋_GB2312" w:hAnsi="仿宋" w:eastAsia="仿宋_GB2312"/>
                <w:sz w:val="22"/>
                <w:szCs w:val="22"/>
              </w:rPr>
            </w:pPr>
            <w:r>
              <w:rPr>
                <w:rFonts w:hint="eastAsia" w:ascii="仿宋_GB2312" w:hAnsi="仿宋" w:eastAsia="仿宋_GB2312" w:cs="楷体"/>
                <w:kern w:val="0"/>
                <w:sz w:val="22"/>
                <w:szCs w:val="22"/>
              </w:rPr>
              <w:t>中标服务费</w:t>
            </w:r>
          </w:p>
        </w:tc>
        <w:tc>
          <w:tcPr>
            <w:tcW w:w="5812" w:type="dxa"/>
            <w:vAlign w:val="center"/>
          </w:tcPr>
          <w:p>
            <w:pPr>
              <w:widowControl/>
              <w:spacing w:line="276" w:lineRule="auto"/>
              <w:jc w:val="left"/>
              <w:rPr>
                <w:rFonts w:ascii="仿宋_GB2312" w:hAnsi="仿宋" w:eastAsia="仿宋_GB2312"/>
                <w:sz w:val="22"/>
                <w:szCs w:val="22"/>
              </w:rPr>
            </w:pPr>
            <w:r>
              <w:rPr>
                <w:rFonts w:hint="eastAsia" w:ascii="仿宋_GB2312" w:hAnsi="仿宋" w:eastAsia="仿宋_GB2312"/>
                <w:sz w:val="22"/>
                <w:szCs w:val="22"/>
              </w:rPr>
              <w:t>□本次招标不收取中标服务费</w:t>
            </w:r>
          </w:p>
        </w:tc>
      </w:tr>
    </w:tbl>
    <w:p>
      <w:pPr>
        <w:rPr>
          <w:rFonts w:ascii="仿宋" w:hAnsi="仿宋" w:eastAsia="仿宋"/>
          <w:sz w:val="24"/>
        </w:rPr>
      </w:pPr>
      <w:r>
        <w:rPr>
          <w:rFonts w:hint="eastAsia" w:ascii="仿宋" w:hAnsi="仿宋" w:eastAsia="仿宋"/>
          <w:kern w:val="0"/>
        </w:rPr>
        <w:br w:type="page"/>
      </w:r>
    </w:p>
    <w:p>
      <w:pPr>
        <w:keepNext/>
        <w:keepLines/>
        <w:spacing w:before="120" w:after="120"/>
        <w:outlineLvl w:val="1"/>
        <w:rPr>
          <w:rFonts w:ascii="仿宋" w:hAnsi="仿宋" w:eastAsia="仿宋"/>
          <w:b/>
          <w:bCs/>
          <w:kern w:val="0"/>
          <w:sz w:val="28"/>
          <w:szCs w:val="28"/>
        </w:rPr>
      </w:pPr>
      <w:bookmarkStart w:id="36" w:name="_Toc151390341"/>
      <w:bookmarkStart w:id="37" w:name="_Toc60241442"/>
      <w:r>
        <w:rPr>
          <w:rFonts w:ascii="仿宋" w:hAnsi="仿宋" w:eastAsia="仿宋"/>
          <w:b/>
          <w:bCs/>
          <w:kern w:val="0"/>
          <w:sz w:val="28"/>
          <w:szCs w:val="28"/>
        </w:rPr>
        <w:t>2.</w:t>
      </w:r>
      <w:r>
        <w:rPr>
          <w:rFonts w:hint="eastAsia" w:ascii="仿宋" w:hAnsi="仿宋" w:eastAsia="仿宋"/>
          <w:b/>
          <w:bCs/>
          <w:kern w:val="0"/>
          <w:sz w:val="28"/>
          <w:szCs w:val="28"/>
        </w:rPr>
        <w:t>1总则</w:t>
      </w:r>
      <w:bookmarkEnd w:id="36"/>
      <w:bookmarkEnd w:id="37"/>
    </w:p>
    <w:p>
      <w:pPr>
        <w:keepNext/>
        <w:keepLines/>
        <w:spacing w:before="156" w:after="156"/>
        <w:outlineLvl w:val="2"/>
        <w:rPr>
          <w:rFonts w:ascii="仿宋" w:hAnsi="仿宋" w:eastAsia="仿宋"/>
          <w:b/>
          <w:bCs/>
          <w:kern w:val="0"/>
          <w:sz w:val="24"/>
          <w:szCs w:val="32"/>
        </w:rPr>
      </w:pPr>
      <w:bookmarkStart w:id="38" w:name="_Toc477543745"/>
      <w:bookmarkStart w:id="39" w:name="_Toc11663605"/>
      <w:bookmarkStart w:id="40" w:name="_Toc60241443"/>
      <w:bookmarkStart w:id="41" w:name="_Toc151390342"/>
      <w:r>
        <w:rPr>
          <w:rFonts w:ascii="仿宋" w:hAnsi="仿宋" w:eastAsia="仿宋"/>
          <w:b/>
          <w:bCs/>
          <w:kern w:val="0"/>
          <w:sz w:val="24"/>
          <w:szCs w:val="32"/>
        </w:rPr>
        <w:t>2.</w:t>
      </w:r>
      <w:r>
        <w:rPr>
          <w:rFonts w:hint="eastAsia" w:ascii="仿宋" w:hAnsi="仿宋" w:eastAsia="仿宋"/>
          <w:b/>
          <w:bCs/>
          <w:kern w:val="0"/>
          <w:sz w:val="24"/>
          <w:szCs w:val="32"/>
        </w:rPr>
        <w:t>1.1 项目概况</w:t>
      </w:r>
      <w:bookmarkEnd w:id="38"/>
      <w:bookmarkEnd w:id="39"/>
      <w:bookmarkEnd w:id="40"/>
      <w:bookmarkEnd w:id="41"/>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1.1.1根据《中华人民共和国招标投标法》、《中华人民共和国招标投标法实施条例》等有关法律、法规和规章的规定，本招标项目已具备招标条件，现对本标段进行招标。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1.1.2招标人：见投标人须知前附表。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1.1.3招标机构：见投标人须知前附表。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1.1.4招标采购名称：见投标人须知前附表。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1.1.5项目地点：见投标人须知前附表。</w:t>
      </w:r>
    </w:p>
    <w:p>
      <w:pPr>
        <w:keepNext/>
        <w:keepLines/>
        <w:spacing w:before="156" w:after="156"/>
        <w:outlineLvl w:val="2"/>
        <w:rPr>
          <w:rFonts w:ascii="仿宋" w:hAnsi="仿宋" w:eastAsia="仿宋"/>
          <w:b/>
          <w:bCs/>
          <w:kern w:val="0"/>
          <w:sz w:val="24"/>
          <w:szCs w:val="32"/>
        </w:rPr>
      </w:pPr>
      <w:bookmarkStart w:id="42" w:name="_Toc514751492"/>
      <w:bookmarkStart w:id="43" w:name="_Toc9980"/>
      <w:bookmarkStart w:id="44" w:name="_Toc60241444"/>
      <w:bookmarkStart w:id="45" w:name="_Toc26718"/>
      <w:bookmarkStart w:id="46" w:name="_Toc899"/>
      <w:bookmarkStart w:id="47" w:name="_Toc151390343"/>
      <w:r>
        <w:rPr>
          <w:rFonts w:ascii="仿宋" w:hAnsi="仿宋" w:eastAsia="仿宋"/>
          <w:b/>
          <w:bCs/>
          <w:kern w:val="0"/>
          <w:sz w:val="24"/>
          <w:szCs w:val="32"/>
        </w:rPr>
        <w:t>2.</w:t>
      </w:r>
      <w:r>
        <w:rPr>
          <w:rFonts w:hint="eastAsia" w:ascii="仿宋" w:hAnsi="仿宋" w:eastAsia="仿宋"/>
          <w:b/>
          <w:bCs/>
          <w:kern w:val="0"/>
          <w:sz w:val="24"/>
          <w:szCs w:val="32"/>
        </w:rPr>
        <w:t>1.2 项目的资金来源和落实情况</w:t>
      </w:r>
      <w:bookmarkEnd w:id="42"/>
      <w:bookmarkEnd w:id="43"/>
      <w:bookmarkEnd w:id="44"/>
      <w:bookmarkEnd w:id="45"/>
      <w:bookmarkEnd w:id="46"/>
      <w:bookmarkEnd w:id="47"/>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1.2.1资金来源：见投标人须知前附表。</w:t>
      </w:r>
    </w:p>
    <w:p>
      <w:pPr>
        <w:keepNext/>
        <w:keepLines/>
        <w:spacing w:before="156" w:after="156"/>
        <w:outlineLvl w:val="2"/>
        <w:rPr>
          <w:rFonts w:ascii="仿宋" w:hAnsi="仿宋" w:eastAsia="仿宋"/>
          <w:b/>
          <w:bCs/>
          <w:kern w:val="0"/>
          <w:sz w:val="24"/>
          <w:szCs w:val="32"/>
        </w:rPr>
      </w:pPr>
      <w:bookmarkStart w:id="48" w:name="_Toc60241445"/>
      <w:bookmarkStart w:id="49" w:name="_Toc9964"/>
      <w:bookmarkStart w:id="50" w:name="_Toc10460"/>
      <w:bookmarkStart w:id="51" w:name="_Toc19681"/>
      <w:bookmarkStart w:id="52" w:name="_Toc514751493"/>
      <w:bookmarkStart w:id="53" w:name="_Toc151390344"/>
      <w:r>
        <w:rPr>
          <w:rFonts w:ascii="仿宋" w:hAnsi="仿宋" w:eastAsia="仿宋"/>
          <w:b/>
          <w:bCs/>
          <w:kern w:val="0"/>
          <w:sz w:val="24"/>
          <w:szCs w:val="32"/>
        </w:rPr>
        <w:t>2.</w:t>
      </w:r>
      <w:r>
        <w:rPr>
          <w:rFonts w:hint="eastAsia" w:ascii="仿宋" w:hAnsi="仿宋" w:eastAsia="仿宋"/>
          <w:b/>
          <w:bCs/>
          <w:kern w:val="0"/>
          <w:sz w:val="24"/>
          <w:szCs w:val="32"/>
        </w:rPr>
        <w:t>1.3 招标范围、交货时间、交货地点和质量要求</w:t>
      </w:r>
      <w:bookmarkEnd w:id="48"/>
      <w:bookmarkEnd w:id="49"/>
      <w:bookmarkEnd w:id="50"/>
      <w:bookmarkEnd w:id="51"/>
      <w:bookmarkEnd w:id="52"/>
      <w:bookmarkEnd w:id="53"/>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1.3.1招标范围：见投标人须知前附表。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1.3.2交货时间：见投标人须知前附表。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1.3.3交货地点：见投标人须知前附表。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1.3.4质量要求：见投标人须知前附表。</w:t>
      </w:r>
    </w:p>
    <w:p>
      <w:pPr>
        <w:keepNext/>
        <w:keepLines/>
        <w:spacing w:before="156" w:after="156"/>
        <w:outlineLvl w:val="2"/>
        <w:rPr>
          <w:rFonts w:ascii="仿宋" w:hAnsi="仿宋" w:eastAsia="仿宋"/>
          <w:b/>
          <w:bCs/>
          <w:kern w:val="0"/>
          <w:sz w:val="24"/>
          <w:szCs w:val="32"/>
        </w:rPr>
      </w:pPr>
      <w:bookmarkStart w:id="54" w:name="_Toc14981"/>
      <w:bookmarkStart w:id="55" w:name="_Toc3985"/>
      <w:bookmarkStart w:id="56" w:name="_Toc60241446"/>
      <w:bookmarkStart w:id="57" w:name="_Toc13394"/>
      <w:bookmarkStart w:id="58" w:name="_Toc514751494"/>
      <w:bookmarkStart w:id="59" w:name="_Toc151390345"/>
      <w:r>
        <w:rPr>
          <w:rFonts w:ascii="仿宋" w:hAnsi="仿宋" w:eastAsia="仿宋"/>
          <w:b/>
          <w:bCs/>
          <w:kern w:val="0"/>
          <w:sz w:val="24"/>
          <w:szCs w:val="32"/>
        </w:rPr>
        <w:t>2.</w:t>
      </w:r>
      <w:r>
        <w:rPr>
          <w:rFonts w:hint="eastAsia" w:ascii="仿宋" w:hAnsi="仿宋" w:eastAsia="仿宋"/>
          <w:b/>
          <w:bCs/>
          <w:kern w:val="0"/>
          <w:sz w:val="24"/>
          <w:szCs w:val="32"/>
        </w:rPr>
        <w:t>1.4 投标人资格要求</w:t>
      </w:r>
      <w:bookmarkEnd w:id="54"/>
      <w:bookmarkEnd w:id="55"/>
      <w:bookmarkEnd w:id="56"/>
      <w:bookmarkEnd w:id="57"/>
      <w:bookmarkEnd w:id="58"/>
      <w:bookmarkEnd w:id="59"/>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1.4.1投标人资格要求</w:t>
      </w:r>
    </w:p>
    <w:p>
      <w:pPr>
        <w:spacing w:line="360" w:lineRule="auto"/>
        <w:ind w:firstLine="480" w:firstLineChars="200"/>
        <w:rPr>
          <w:rFonts w:ascii="仿宋" w:hAnsi="仿宋" w:eastAsia="仿宋"/>
          <w:sz w:val="24"/>
        </w:rPr>
      </w:pPr>
      <w:r>
        <w:rPr>
          <w:rFonts w:hint="eastAsia" w:ascii="仿宋" w:hAnsi="仿宋" w:eastAsia="仿宋"/>
          <w:sz w:val="24"/>
        </w:rPr>
        <w:t>（1）资质要求：见投标人须知前附表。</w:t>
      </w:r>
    </w:p>
    <w:p>
      <w:pPr>
        <w:spacing w:line="360" w:lineRule="auto"/>
        <w:ind w:firstLine="480" w:firstLineChars="200"/>
        <w:rPr>
          <w:rFonts w:ascii="仿宋" w:hAnsi="仿宋" w:eastAsia="仿宋"/>
          <w:sz w:val="24"/>
        </w:rPr>
      </w:pPr>
      <w:r>
        <w:rPr>
          <w:rFonts w:hint="eastAsia" w:ascii="仿宋" w:hAnsi="仿宋" w:eastAsia="仿宋"/>
          <w:sz w:val="24"/>
        </w:rPr>
        <w:t>（2）业绩要求：见投标人须知前附表。</w:t>
      </w:r>
    </w:p>
    <w:p>
      <w:pPr>
        <w:spacing w:line="360" w:lineRule="auto"/>
        <w:ind w:firstLine="480" w:firstLineChars="200"/>
        <w:rPr>
          <w:rFonts w:ascii="仿宋" w:hAnsi="仿宋" w:eastAsia="仿宋"/>
          <w:sz w:val="24"/>
        </w:rPr>
      </w:pPr>
      <w:r>
        <w:rPr>
          <w:rFonts w:hint="eastAsia" w:ascii="仿宋" w:hAnsi="仿宋" w:eastAsia="仿宋"/>
          <w:sz w:val="24"/>
        </w:rPr>
        <w:t>（3）财务要求：见投标人须知前附表。</w:t>
      </w:r>
    </w:p>
    <w:p>
      <w:pPr>
        <w:spacing w:line="360" w:lineRule="auto"/>
        <w:ind w:firstLine="480" w:firstLineChars="200"/>
        <w:rPr>
          <w:rFonts w:ascii="仿宋" w:hAnsi="仿宋" w:eastAsia="仿宋"/>
          <w:sz w:val="24"/>
        </w:rPr>
      </w:pPr>
      <w:r>
        <w:rPr>
          <w:rFonts w:hint="eastAsia" w:ascii="仿宋" w:hAnsi="仿宋" w:eastAsia="仿宋"/>
          <w:sz w:val="24"/>
        </w:rPr>
        <w:t>（4）信誉要求：见投标人须知前附表。</w:t>
      </w:r>
    </w:p>
    <w:p>
      <w:pPr>
        <w:spacing w:line="360" w:lineRule="auto"/>
        <w:ind w:firstLine="480" w:firstLineChars="200"/>
        <w:rPr>
          <w:rFonts w:ascii="仿宋" w:hAnsi="仿宋" w:eastAsia="仿宋"/>
          <w:sz w:val="24"/>
        </w:rPr>
      </w:pPr>
      <w:r>
        <w:rPr>
          <w:rFonts w:hint="eastAsia" w:ascii="仿宋" w:hAnsi="仿宋" w:eastAsia="仿宋"/>
          <w:sz w:val="24"/>
        </w:rPr>
        <w:t>（5）其他要求：见投标人须知前附表。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1.4.2本次招标不接受联合体投标。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1.4.3投标人不得存在下列情形之一：</w:t>
      </w:r>
    </w:p>
    <w:p>
      <w:pPr>
        <w:numPr>
          <w:ilvl w:val="0"/>
          <w:numId w:val="6"/>
        </w:numPr>
        <w:spacing w:line="360" w:lineRule="auto"/>
        <w:ind w:hanging="5"/>
        <w:rPr>
          <w:rFonts w:ascii="仿宋" w:hAnsi="仿宋" w:eastAsia="仿宋"/>
          <w:sz w:val="24"/>
        </w:rPr>
      </w:pPr>
      <w:r>
        <w:rPr>
          <w:rFonts w:hint="eastAsia" w:ascii="仿宋" w:hAnsi="仿宋" w:eastAsia="仿宋"/>
          <w:sz w:val="24"/>
        </w:rPr>
        <w:t>与招标人存在利害关系且可能影响招标公正性；</w:t>
      </w:r>
    </w:p>
    <w:p>
      <w:pPr>
        <w:numPr>
          <w:ilvl w:val="0"/>
          <w:numId w:val="6"/>
        </w:numPr>
        <w:spacing w:line="360" w:lineRule="auto"/>
        <w:ind w:hanging="5"/>
        <w:rPr>
          <w:rFonts w:ascii="仿宋" w:hAnsi="仿宋" w:eastAsia="仿宋"/>
          <w:sz w:val="24"/>
        </w:rPr>
      </w:pPr>
      <w:r>
        <w:rPr>
          <w:rFonts w:hint="eastAsia" w:ascii="仿宋" w:hAnsi="仿宋" w:eastAsia="仿宋"/>
          <w:sz w:val="24"/>
        </w:rPr>
        <w:t>与本招标项目的其他投标人为同一个单位负责人；</w:t>
      </w:r>
    </w:p>
    <w:p>
      <w:pPr>
        <w:numPr>
          <w:ilvl w:val="0"/>
          <w:numId w:val="6"/>
        </w:numPr>
        <w:spacing w:line="360" w:lineRule="auto"/>
        <w:ind w:hanging="5"/>
        <w:rPr>
          <w:rFonts w:ascii="仿宋" w:hAnsi="仿宋" w:eastAsia="仿宋"/>
          <w:sz w:val="24"/>
        </w:rPr>
      </w:pPr>
      <w:r>
        <w:rPr>
          <w:rFonts w:hint="eastAsia" w:ascii="仿宋" w:hAnsi="仿宋" w:eastAsia="仿宋"/>
          <w:sz w:val="24"/>
        </w:rPr>
        <w:t>与本招标项目的其他投标人存在控股、管理关系；</w:t>
      </w:r>
    </w:p>
    <w:p>
      <w:pPr>
        <w:numPr>
          <w:ilvl w:val="0"/>
          <w:numId w:val="6"/>
        </w:numPr>
        <w:spacing w:line="360" w:lineRule="auto"/>
        <w:ind w:hanging="5"/>
        <w:rPr>
          <w:rFonts w:ascii="仿宋" w:hAnsi="仿宋" w:eastAsia="仿宋"/>
          <w:sz w:val="24"/>
        </w:rPr>
      </w:pPr>
      <w:r>
        <w:rPr>
          <w:rFonts w:hint="eastAsia" w:ascii="仿宋" w:hAnsi="仿宋" w:eastAsia="仿宋"/>
          <w:sz w:val="24"/>
        </w:rPr>
        <w:t>被依法暂停或者取消投标资格；</w:t>
      </w:r>
    </w:p>
    <w:p>
      <w:pPr>
        <w:numPr>
          <w:ilvl w:val="0"/>
          <w:numId w:val="6"/>
        </w:numPr>
        <w:spacing w:line="360" w:lineRule="auto"/>
        <w:ind w:hanging="5"/>
        <w:rPr>
          <w:rFonts w:ascii="仿宋" w:hAnsi="仿宋" w:eastAsia="仿宋"/>
          <w:sz w:val="24"/>
        </w:rPr>
      </w:pPr>
      <w:r>
        <w:rPr>
          <w:rFonts w:hint="eastAsia" w:ascii="仿宋" w:hAnsi="仿宋" w:eastAsia="仿宋"/>
          <w:sz w:val="24"/>
        </w:rPr>
        <w:t>被责令停产停业、暂扣或者吊销许可证、暂扣或者吊销执照；</w:t>
      </w:r>
    </w:p>
    <w:p>
      <w:pPr>
        <w:numPr>
          <w:ilvl w:val="0"/>
          <w:numId w:val="6"/>
        </w:numPr>
        <w:spacing w:line="360" w:lineRule="auto"/>
        <w:ind w:hanging="5"/>
        <w:rPr>
          <w:rFonts w:ascii="仿宋" w:hAnsi="仿宋" w:eastAsia="仿宋"/>
          <w:sz w:val="24"/>
        </w:rPr>
      </w:pPr>
      <w:r>
        <w:rPr>
          <w:rFonts w:hint="eastAsia" w:ascii="仿宋" w:hAnsi="仿宋" w:eastAsia="仿宋"/>
          <w:sz w:val="24"/>
        </w:rPr>
        <w:t>进入清算程序、或被宣告破产，或其他丧失履约能力的情形；</w:t>
      </w:r>
    </w:p>
    <w:p>
      <w:pPr>
        <w:numPr>
          <w:ilvl w:val="0"/>
          <w:numId w:val="6"/>
        </w:numPr>
        <w:spacing w:line="360" w:lineRule="auto"/>
        <w:ind w:hanging="5"/>
        <w:rPr>
          <w:rFonts w:ascii="仿宋" w:hAnsi="仿宋" w:eastAsia="仿宋"/>
          <w:sz w:val="24"/>
        </w:rPr>
      </w:pPr>
      <w:r>
        <w:rPr>
          <w:rFonts w:hint="eastAsia" w:ascii="仿宋" w:hAnsi="仿宋" w:eastAsia="仿宋"/>
          <w:sz w:val="24"/>
        </w:rPr>
        <w:t>在最近三年内发生重大产品质量问题（以相关行业主管部门的行政处罚决定或司法机关出具的有关法律文书为准）；</w:t>
      </w:r>
    </w:p>
    <w:p>
      <w:pPr>
        <w:numPr>
          <w:ilvl w:val="0"/>
          <w:numId w:val="6"/>
        </w:numPr>
        <w:spacing w:line="360" w:lineRule="auto"/>
        <w:ind w:hanging="5"/>
        <w:rPr>
          <w:rFonts w:ascii="仿宋" w:hAnsi="仿宋" w:eastAsia="仿宋"/>
          <w:sz w:val="24"/>
        </w:rPr>
      </w:pPr>
      <w:r>
        <w:rPr>
          <w:rFonts w:hint="eastAsia" w:ascii="仿宋" w:hAnsi="仿宋" w:eastAsia="仿宋"/>
          <w:sz w:val="24"/>
        </w:rPr>
        <w:t>被工商行政管理机关在全国企业信用信息公示系统中列入严重违法失信企业名单；</w:t>
      </w:r>
    </w:p>
    <w:p>
      <w:pPr>
        <w:numPr>
          <w:ilvl w:val="0"/>
          <w:numId w:val="6"/>
        </w:numPr>
        <w:spacing w:line="360" w:lineRule="auto"/>
        <w:ind w:hanging="5"/>
        <w:rPr>
          <w:rFonts w:ascii="仿宋" w:hAnsi="仿宋" w:eastAsia="仿宋"/>
          <w:sz w:val="24"/>
        </w:rPr>
      </w:pPr>
      <w:r>
        <w:rPr>
          <w:rFonts w:hint="eastAsia" w:ascii="仿宋" w:hAnsi="仿宋" w:eastAsia="仿宋"/>
          <w:sz w:val="24"/>
        </w:rPr>
        <w:t>被最高人民法院在“信用中国”网站（www.cerditchina,gov.cn）或各级信用信息共享平台中列入失信被执行人名单；</w:t>
      </w:r>
    </w:p>
    <w:p>
      <w:pPr>
        <w:numPr>
          <w:ilvl w:val="0"/>
          <w:numId w:val="6"/>
        </w:numPr>
        <w:spacing w:line="360" w:lineRule="auto"/>
        <w:ind w:hanging="5"/>
        <w:rPr>
          <w:rFonts w:ascii="仿宋" w:hAnsi="仿宋" w:eastAsia="仿宋"/>
          <w:sz w:val="24"/>
        </w:rPr>
      </w:pPr>
      <w:r>
        <w:rPr>
          <w:rFonts w:hint="eastAsia" w:ascii="仿宋" w:hAnsi="仿宋" w:eastAsia="仿宋"/>
          <w:sz w:val="24"/>
        </w:rPr>
        <w:t>近三年内投标人或其法定代表人、拟委任的项目负责人有行贿犯罪行为的（以检察机关职务犯罪预防部门出具的查询结果为准）；</w:t>
      </w:r>
    </w:p>
    <w:p>
      <w:pPr>
        <w:numPr>
          <w:ilvl w:val="0"/>
          <w:numId w:val="6"/>
        </w:numPr>
        <w:spacing w:line="360" w:lineRule="auto"/>
        <w:ind w:hanging="5"/>
        <w:rPr>
          <w:rFonts w:ascii="仿宋" w:hAnsi="仿宋" w:eastAsia="仿宋"/>
          <w:sz w:val="24"/>
        </w:rPr>
      </w:pPr>
      <w:r>
        <w:rPr>
          <w:rFonts w:hint="eastAsia" w:ascii="仿宋" w:hAnsi="仿宋" w:eastAsia="仿宋"/>
          <w:sz w:val="24"/>
        </w:rPr>
        <w:t>法律法规或投标人须知前附表规定的其他情形。</w:t>
      </w:r>
    </w:p>
    <w:p>
      <w:pPr>
        <w:keepNext/>
        <w:keepLines/>
        <w:spacing w:before="156" w:after="156"/>
        <w:outlineLvl w:val="2"/>
        <w:rPr>
          <w:rFonts w:ascii="仿宋" w:hAnsi="仿宋" w:eastAsia="仿宋"/>
          <w:b/>
          <w:bCs/>
          <w:kern w:val="0"/>
          <w:sz w:val="24"/>
          <w:szCs w:val="32"/>
        </w:rPr>
      </w:pPr>
      <w:bookmarkStart w:id="60" w:name="_Toc514751495"/>
      <w:bookmarkStart w:id="61" w:name="_Toc27682"/>
      <w:bookmarkStart w:id="62" w:name="_Toc6127"/>
      <w:bookmarkStart w:id="63" w:name="_Toc60241447"/>
      <w:bookmarkStart w:id="64" w:name="_Toc31231"/>
      <w:bookmarkStart w:id="65" w:name="_Toc151390346"/>
      <w:r>
        <w:rPr>
          <w:rFonts w:ascii="仿宋" w:hAnsi="仿宋" w:eastAsia="仿宋"/>
          <w:b/>
          <w:bCs/>
          <w:kern w:val="0"/>
          <w:sz w:val="24"/>
          <w:szCs w:val="32"/>
        </w:rPr>
        <w:t>2.</w:t>
      </w:r>
      <w:r>
        <w:rPr>
          <w:rFonts w:hint="eastAsia" w:ascii="仿宋" w:hAnsi="仿宋" w:eastAsia="仿宋"/>
          <w:b/>
          <w:bCs/>
          <w:kern w:val="0"/>
          <w:sz w:val="24"/>
          <w:szCs w:val="32"/>
        </w:rPr>
        <w:t>1.5 费用承担</w:t>
      </w:r>
      <w:bookmarkEnd w:id="60"/>
      <w:bookmarkEnd w:id="61"/>
      <w:bookmarkEnd w:id="62"/>
      <w:bookmarkEnd w:id="63"/>
      <w:bookmarkEnd w:id="64"/>
      <w:bookmarkEnd w:id="65"/>
    </w:p>
    <w:p>
      <w:pPr>
        <w:spacing w:line="360" w:lineRule="auto"/>
        <w:ind w:firstLine="480" w:firstLineChars="200"/>
        <w:rPr>
          <w:rFonts w:ascii="仿宋" w:hAnsi="仿宋" w:eastAsia="仿宋"/>
          <w:sz w:val="24"/>
        </w:rPr>
      </w:pPr>
      <w:r>
        <w:rPr>
          <w:rFonts w:hint="eastAsia" w:ascii="仿宋" w:hAnsi="仿宋" w:eastAsia="仿宋"/>
          <w:sz w:val="24"/>
        </w:rPr>
        <w:t>投标人准备和参加投标活动发生的费用自理。</w:t>
      </w:r>
    </w:p>
    <w:p>
      <w:pPr>
        <w:keepNext/>
        <w:keepLines/>
        <w:spacing w:before="156" w:after="156"/>
        <w:outlineLvl w:val="2"/>
        <w:rPr>
          <w:rFonts w:ascii="仿宋" w:hAnsi="仿宋" w:eastAsia="仿宋"/>
          <w:b/>
          <w:bCs/>
          <w:kern w:val="0"/>
          <w:sz w:val="24"/>
          <w:szCs w:val="32"/>
        </w:rPr>
      </w:pPr>
      <w:bookmarkStart w:id="66" w:name="_Toc60241448"/>
      <w:bookmarkStart w:id="67" w:name="_Toc21646"/>
      <w:bookmarkStart w:id="68" w:name="_Toc514751496"/>
      <w:bookmarkStart w:id="69" w:name="_Toc9618"/>
      <w:bookmarkStart w:id="70" w:name="_Toc28510"/>
      <w:bookmarkStart w:id="71" w:name="_Toc151390347"/>
      <w:r>
        <w:rPr>
          <w:rFonts w:ascii="仿宋" w:hAnsi="仿宋" w:eastAsia="仿宋"/>
          <w:b/>
          <w:bCs/>
          <w:kern w:val="0"/>
          <w:sz w:val="24"/>
          <w:szCs w:val="32"/>
        </w:rPr>
        <w:t>2.</w:t>
      </w:r>
      <w:r>
        <w:rPr>
          <w:rFonts w:hint="eastAsia" w:ascii="仿宋" w:hAnsi="仿宋" w:eastAsia="仿宋"/>
          <w:b/>
          <w:bCs/>
          <w:kern w:val="0"/>
          <w:sz w:val="24"/>
          <w:szCs w:val="32"/>
        </w:rPr>
        <w:t>1.6 保密</w:t>
      </w:r>
      <w:bookmarkEnd w:id="66"/>
      <w:bookmarkEnd w:id="67"/>
      <w:bookmarkEnd w:id="68"/>
      <w:bookmarkEnd w:id="69"/>
      <w:bookmarkEnd w:id="70"/>
      <w:bookmarkEnd w:id="71"/>
    </w:p>
    <w:p>
      <w:pPr>
        <w:spacing w:line="360" w:lineRule="auto"/>
        <w:ind w:firstLine="480" w:firstLineChars="200"/>
        <w:rPr>
          <w:rFonts w:ascii="仿宋" w:hAnsi="仿宋" w:eastAsia="仿宋"/>
          <w:sz w:val="24"/>
        </w:rPr>
      </w:pPr>
      <w:r>
        <w:rPr>
          <w:rFonts w:hint="eastAsia" w:ascii="仿宋" w:hAnsi="仿宋" w:eastAsia="仿宋"/>
          <w:sz w:val="24"/>
        </w:rPr>
        <w:t>参与招标投标活动的各方应对招标文件和投标文件中的商业和技术等秘密保密，否则应承担相应的法律责任。</w:t>
      </w:r>
    </w:p>
    <w:p>
      <w:pPr>
        <w:keepNext/>
        <w:keepLines/>
        <w:spacing w:before="156" w:after="156"/>
        <w:outlineLvl w:val="2"/>
        <w:rPr>
          <w:rFonts w:ascii="仿宋" w:hAnsi="仿宋" w:eastAsia="仿宋"/>
          <w:b/>
          <w:bCs/>
          <w:kern w:val="0"/>
          <w:sz w:val="24"/>
          <w:szCs w:val="32"/>
        </w:rPr>
      </w:pPr>
      <w:bookmarkStart w:id="72" w:name="_Toc18501"/>
      <w:bookmarkStart w:id="73" w:name="_Toc514751497"/>
      <w:bookmarkStart w:id="74" w:name="_Toc9053"/>
      <w:bookmarkStart w:id="75" w:name="_Toc12590"/>
      <w:bookmarkStart w:id="76" w:name="_Toc60241449"/>
      <w:bookmarkStart w:id="77" w:name="_Toc151390348"/>
      <w:r>
        <w:rPr>
          <w:rFonts w:ascii="仿宋" w:hAnsi="仿宋" w:eastAsia="仿宋"/>
          <w:b/>
          <w:bCs/>
          <w:kern w:val="0"/>
          <w:sz w:val="24"/>
          <w:szCs w:val="32"/>
        </w:rPr>
        <w:t>2.</w:t>
      </w:r>
      <w:r>
        <w:rPr>
          <w:rFonts w:hint="eastAsia" w:ascii="仿宋" w:hAnsi="仿宋" w:eastAsia="仿宋"/>
          <w:b/>
          <w:bCs/>
          <w:kern w:val="0"/>
          <w:sz w:val="24"/>
          <w:szCs w:val="32"/>
        </w:rPr>
        <w:t>1.7 语言文字</w:t>
      </w:r>
      <w:bookmarkEnd w:id="72"/>
      <w:bookmarkEnd w:id="73"/>
      <w:bookmarkEnd w:id="74"/>
      <w:bookmarkEnd w:id="75"/>
      <w:bookmarkEnd w:id="76"/>
      <w:bookmarkEnd w:id="77"/>
    </w:p>
    <w:p>
      <w:pPr>
        <w:spacing w:line="360" w:lineRule="auto"/>
        <w:ind w:firstLine="480" w:firstLineChars="200"/>
      </w:pPr>
      <w:r>
        <w:rPr>
          <w:rFonts w:hint="eastAsia" w:ascii="仿宋" w:hAnsi="仿宋" w:eastAsia="仿宋"/>
          <w:sz w:val="24"/>
        </w:rPr>
        <w:t>招标投标文件使用的语言文字为中文。专用术语使用外文的，应附有中文注释。</w:t>
      </w:r>
      <w:r>
        <w:rPr>
          <w:rFonts w:hint="eastAsia"/>
        </w:rPr>
        <w:t xml:space="preserve"> </w:t>
      </w:r>
    </w:p>
    <w:p>
      <w:pPr>
        <w:keepNext/>
        <w:keepLines/>
        <w:spacing w:before="156" w:after="156"/>
        <w:outlineLvl w:val="2"/>
        <w:rPr>
          <w:rFonts w:ascii="仿宋" w:hAnsi="仿宋" w:eastAsia="仿宋"/>
          <w:b/>
          <w:bCs/>
          <w:kern w:val="0"/>
          <w:sz w:val="24"/>
          <w:szCs w:val="32"/>
        </w:rPr>
      </w:pPr>
      <w:bookmarkStart w:id="78" w:name="_Toc32213"/>
      <w:bookmarkStart w:id="79" w:name="_Toc514751498"/>
      <w:bookmarkStart w:id="80" w:name="_Toc24360"/>
      <w:bookmarkStart w:id="81" w:name="_Toc60241450"/>
      <w:bookmarkStart w:id="82" w:name="_Toc26268"/>
      <w:bookmarkStart w:id="83" w:name="_Toc151390349"/>
      <w:r>
        <w:rPr>
          <w:rFonts w:ascii="仿宋" w:hAnsi="仿宋" w:eastAsia="仿宋"/>
          <w:b/>
          <w:bCs/>
          <w:kern w:val="0"/>
          <w:sz w:val="24"/>
          <w:szCs w:val="32"/>
        </w:rPr>
        <w:t>2.</w:t>
      </w:r>
      <w:r>
        <w:rPr>
          <w:rFonts w:hint="eastAsia" w:ascii="仿宋" w:hAnsi="仿宋" w:eastAsia="仿宋"/>
          <w:b/>
          <w:bCs/>
          <w:kern w:val="0"/>
          <w:sz w:val="24"/>
          <w:szCs w:val="32"/>
        </w:rPr>
        <w:t>1.8 计量单位</w:t>
      </w:r>
      <w:bookmarkEnd w:id="78"/>
      <w:bookmarkEnd w:id="79"/>
      <w:bookmarkEnd w:id="80"/>
      <w:bookmarkEnd w:id="81"/>
      <w:bookmarkEnd w:id="82"/>
      <w:bookmarkEnd w:id="83"/>
    </w:p>
    <w:p>
      <w:pPr>
        <w:spacing w:line="360" w:lineRule="auto"/>
        <w:ind w:firstLine="480" w:firstLineChars="200"/>
        <w:rPr>
          <w:rFonts w:ascii="仿宋" w:hAnsi="仿宋" w:eastAsia="仿宋"/>
          <w:sz w:val="24"/>
        </w:rPr>
      </w:pPr>
      <w:r>
        <w:rPr>
          <w:rFonts w:hint="eastAsia" w:ascii="仿宋" w:hAnsi="仿宋" w:eastAsia="仿宋"/>
          <w:sz w:val="24"/>
        </w:rPr>
        <w:t>所有计量均采用中华人民共和国法定计量单位。</w:t>
      </w:r>
    </w:p>
    <w:p>
      <w:pPr>
        <w:keepNext/>
        <w:keepLines/>
        <w:spacing w:before="156" w:after="156"/>
        <w:outlineLvl w:val="2"/>
        <w:rPr>
          <w:rFonts w:ascii="仿宋" w:hAnsi="仿宋" w:eastAsia="仿宋"/>
          <w:b/>
          <w:bCs/>
          <w:kern w:val="0"/>
          <w:sz w:val="24"/>
          <w:szCs w:val="32"/>
        </w:rPr>
      </w:pPr>
      <w:bookmarkStart w:id="84" w:name="_Toc60241451"/>
      <w:bookmarkStart w:id="85" w:name="_Toc7204"/>
      <w:bookmarkStart w:id="86" w:name="_Toc10255"/>
      <w:bookmarkStart w:id="87" w:name="_Toc514751499"/>
      <w:bookmarkStart w:id="88" w:name="_Toc9247"/>
      <w:bookmarkStart w:id="89" w:name="_Toc151390350"/>
      <w:r>
        <w:rPr>
          <w:rFonts w:ascii="仿宋" w:hAnsi="仿宋" w:eastAsia="仿宋"/>
          <w:b/>
          <w:bCs/>
          <w:kern w:val="0"/>
          <w:sz w:val="24"/>
          <w:szCs w:val="32"/>
        </w:rPr>
        <w:t>2.</w:t>
      </w:r>
      <w:r>
        <w:rPr>
          <w:rFonts w:hint="eastAsia" w:ascii="仿宋" w:hAnsi="仿宋" w:eastAsia="仿宋"/>
          <w:b/>
          <w:bCs/>
          <w:kern w:val="0"/>
          <w:sz w:val="24"/>
          <w:szCs w:val="32"/>
        </w:rPr>
        <w:t>1.9 踏勘现场</w:t>
      </w:r>
      <w:bookmarkEnd w:id="84"/>
      <w:bookmarkEnd w:id="85"/>
      <w:bookmarkEnd w:id="86"/>
      <w:bookmarkEnd w:id="87"/>
      <w:bookmarkEnd w:id="88"/>
      <w:bookmarkEnd w:id="89"/>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1.9.1招标人按投标人须知前附表中的规定</w:t>
      </w:r>
      <w:r>
        <w:rPr>
          <w:rFonts w:hint="eastAsia" w:ascii="仿宋" w:hAnsi="仿宋" w:eastAsia="仿宋"/>
          <w:b/>
          <w:bCs/>
          <w:sz w:val="24"/>
        </w:rPr>
        <w:t>不组织</w:t>
      </w:r>
      <w:r>
        <w:rPr>
          <w:rFonts w:hint="eastAsia" w:ascii="仿宋" w:hAnsi="仿宋" w:eastAsia="仿宋"/>
          <w:sz w:val="24"/>
        </w:rPr>
        <w:t>踏勘现场。</w:t>
      </w:r>
    </w:p>
    <w:p>
      <w:pPr>
        <w:spacing w:line="360" w:lineRule="auto"/>
        <w:ind w:firstLine="480" w:firstLineChars="200"/>
        <w:rPr>
          <w:rFonts w:ascii="仿宋" w:hAnsi="仿宋" w:eastAsia="仿宋"/>
          <w:sz w:val="24"/>
        </w:rPr>
      </w:pPr>
      <w:r>
        <w:rPr>
          <w:rFonts w:hint="eastAsia" w:ascii="仿宋" w:hAnsi="仿宋" w:eastAsia="仿宋"/>
          <w:sz w:val="24"/>
        </w:rPr>
        <w:t>投标人可自行对现场进行踏勘，提前与招标负责人联络获取通行证。现场踏勘的费用由投标人自己承担，安全由投标人自己负责。</w:t>
      </w:r>
    </w:p>
    <w:p>
      <w:pPr>
        <w:keepNext/>
        <w:keepLines/>
        <w:spacing w:before="156" w:after="156"/>
        <w:outlineLvl w:val="2"/>
        <w:rPr>
          <w:rFonts w:ascii="仿宋" w:hAnsi="仿宋" w:eastAsia="仿宋"/>
          <w:b/>
          <w:bCs/>
          <w:kern w:val="0"/>
          <w:sz w:val="24"/>
          <w:szCs w:val="32"/>
        </w:rPr>
      </w:pPr>
      <w:bookmarkStart w:id="90" w:name="_Toc14774"/>
      <w:bookmarkStart w:id="91" w:name="_Toc26307"/>
      <w:bookmarkStart w:id="92" w:name="_Toc514751500"/>
      <w:bookmarkStart w:id="93" w:name="_Toc15489"/>
      <w:bookmarkStart w:id="94" w:name="_Toc60241452"/>
      <w:bookmarkStart w:id="95" w:name="_Toc151390351"/>
      <w:r>
        <w:rPr>
          <w:rFonts w:ascii="仿宋" w:hAnsi="仿宋" w:eastAsia="仿宋"/>
          <w:b/>
          <w:bCs/>
          <w:kern w:val="0"/>
          <w:sz w:val="24"/>
          <w:szCs w:val="32"/>
        </w:rPr>
        <w:t>2.</w:t>
      </w:r>
      <w:r>
        <w:rPr>
          <w:rFonts w:hint="eastAsia" w:ascii="仿宋" w:hAnsi="仿宋" w:eastAsia="仿宋"/>
          <w:b/>
          <w:bCs/>
          <w:kern w:val="0"/>
          <w:sz w:val="24"/>
          <w:szCs w:val="32"/>
        </w:rPr>
        <w:t>1.10 投标预备会</w:t>
      </w:r>
      <w:bookmarkEnd w:id="90"/>
      <w:bookmarkEnd w:id="91"/>
      <w:bookmarkEnd w:id="92"/>
      <w:bookmarkEnd w:id="93"/>
      <w:bookmarkEnd w:id="94"/>
      <w:bookmarkEnd w:id="95"/>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w:t>
      </w:r>
      <w:r>
        <w:rPr>
          <w:rFonts w:ascii="仿宋" w:hAnsi="仿宋" w:eastAsia="仿宋"/>
          <w:sz w:val="24"/>
        </w:rPr>
        <w:t>10</w:t>
      </w:r>
      <w:r>
        <w:rPr>
          <w:rFonts w:hint="eastAsia" w:ascii="仿宋" w:hAnsi="仿宋" w:eastAsia="仿宋"/>
          <w:sz w:val="24"/>
        </w:rPr>
        <w:t>.1投标人须知前附表规定召开投标预备会的，招标人按投标人须知前附表规定的时间和地点召开投标预备会，澄清投标人提出的问题。</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w:t>
      </w:r>
      <w:r>
        <w:rPr>
          <w:rFonts w:ascii="仿宋" w:hAnsi="仿宋" w:eastAsia="仿宋"/>
          <w:sz w:val="24"/>
        </w:rPr>
        <w:t>10</w:t>
      </w:r>
      <w:r>
        <w:rPr>
          <w:rFonts w:hint="eastAsia" w:ascii="仿宋" w:hAnsi="仿宋" w:eastAsia="仿宋"/>
          <w:sz w:val="24"/>
        </w:rPr>
        <w:t>.2投标人应按投标人须知前附表规定的时间和形式将提出的问题送达招标人，以便招标人在会议期间澄清。</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w:t>
      </w:r>
      <w:r>
        <w:rPr>
          <w:rFonts w:ascii="仿宋" w:hAnsi="仿宋" w:eastAsia="仿宋"/>
          <w:sz w:val="24"/>
        </w:rPr>
        <w:t>10</w:t>
      </w:r>
      <w:r>
        <w:rPr>
          <w:rFonts w:hint="eastAsia" w:ascii="仿宋" w:hAnsi="仿宋" w:eastAsia="仿宋"/>
          <w:sz w:val="24"/>
        </w:rPr>
        <w:t>.3投标预备会后，招标人将对投标人所提问题的澄清，以投标人须知前附表规定的形式通知所有购买招标文件的投标人。该澄清内容为招标文件的组成部分。</w:t>
      </w:r>
    </w:p>
    <w:p>
      <w:pPr>
        <w:keepNext/>
        <w:keepLines/>
        <w:spacing w:before="156" w:after="156"/>
        <w:outlineLvl w:val="2"/>
        <w:rPr>
          <w:rFonts w:ascii="仿宋" w:hAnsi="仿宋" w:eastAsia="仿宋"/>
          <w:b/>
          <w:bCs/>
          <w:kern w:val="0"/>
          <w:sz w:val="24"/>
          <w:szCs w:val="32"/>
        </w:rPr>
      </w:pPr>
      <w:bookmarkStart w:id="96" w:name="_Toc60241453"/>
      <w:bookmarkStart w:id="97" w:name="_Toc16180"/>
      <w:bookmarkStart w:id="98" w:name="_Toc28935"/>
      <w:bookmarkStart w:id="99" w:name="_Toc23581"/>
      <w:bookmarkStart w:id="100" w:name="_Toc151390352"/>
      <w:r>
        <w:rPr>
          <w:rFonts w:ascii="仿宋" w:hAnsi="仿宋" w:eastAsia="仿宋"/>
          <w:b/>
          <w:bCs/>
          <w:kern w:val="0"/>
          <w:sz w:val="24"/>
          <w:szCs w:val="32"/>
        </w:rPr>
        <w:t>2.1.1</w:t>
      </w:r>
      <w:r>
        <w:rPr>
          <w:rFonts w:hint="eastAsia" w:ascii="仿宋" w:hAnsi="仿宋" w:eastAsia="仿宋"/>
          <w:b/>
          <w:bCs/>
          <w:kern w:val="0"/>
          <w:sz w:val="24"/>
          <w:szCs w:val="32"/>
        </w:rPr>
        <w:t>1</w:t>
      </w:r>
      <w:r>
        <w:rPr>
          <w:rFonts w:ascii="仿宋" w:hAnsi="仿宋" w:eastAsia="仿宋"/>
          <w:b/>
          <w:bCs/>
          <w:kern w:val="0"/>
          <w:sz w:val="24"/>
          <w:szCs w:val="32"/>
        </w:rPr>
        <w:t xml:space="preserve"> </w:t>
      </w:r>
      <w:r>
        <w:rPr>
          <w:rFonts w:hint="eastAsia" w:ascii="仿宋" w:hAnsi="仿宋" w:eastAsia="仿宋"/>
          <w:b/>
          <w:bCs/>
          <w:kern w:val="0"/>
          <w:sz w:val="24"/>
          <w:szCs w:val="32"/>
        </w:rPr>
        <w:t>响应和偏差</w:t>
      </w:r>
      <w:bookmarkEnd w:id="96"/>
      <w:bookmarkEnd w:id="97"/>
      <w:bookmarkEnd w:id="98"/>
      <w:bookmarkEnd w:id="99"/>
      <w:bookmarkEnd w:id="100"/>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1.11.1投标文件应当对招标文件的实质性要求和条件作出满足性或更有利于招标人的响应，否则，投标人的投标将被否决。实质性要求和条件见投标人须知前附表。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1.11.2投标人应根据招标文件的要求提供投标设备质量标准的详细描述、技术支持资料及技术服务和质保期服务计划等内容以对招标文件作出响应。</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1.11.3投标文件中应针对实质性要求和条件中列明的要求提供支持资料。支持资料以制造商公开发布的印刷资料，或投标人须知前附表允许的其他形式为准，不符合前述要求的，视为无支持资料，其投标将被否决。</w:t>
      </w:r>
    </w:p>
    <w:p>
      <w:pPr>
        <w:widowControl/>
        <w:spacing w:before="120" w:after="60" w:line="360" w:lineRule="auto"/>
        <w:jc w:val="left"/>
        <w:outlineLvl w:val="1"/>
        <w:rPr>
          <w:rFonts w:ascii="仿宋" w:hAnsi="仿宋" w:eastAsia="仿宋" w:cs="楷体"/>
          <w:b/>
          <w:bCs/>
          <w:kern w:val="0"/>
          <w:sz w:val="28"/>
          <w:szCs w:val="28"/>
        </w:rPr>
      </w:pPr>
      <w:bookmarkStart w:id="101" w:name="_Toc477543755"/>
      <w:bookmarkStart w:id="102" w:name="_Toc11663615"/>
      <w:bookmarkStart w:id="103" w:name="_Toc60241454"/>
      <w:bookmarkStart w:id="104" w:name="_Toc477196072"/>
      <w:bookmarkStart w:id="105" w:name="_Toc151390353"/>
      <w:r>
        <w:rPr>
          <w:rFonts w:ascii="仿宋" w:hAnsi="仿宋" w:eastAsia="仿宋" w:cs="楷体"/>
          <w:b/>
          <w:bCs/>
          <w:kern w:val="0"/>
          <w:sz w:val="28"/>
          <w:szCs w:val="28"/>
        </w:rPr>
        <w:t>2.</w:t>
      </w:r>
      <w:r>
        <w:rPr>
          <w:rFonts w:hint="eastAsia" w:ascii="仿宋" w:hAnsi="仿宋" w:eastAsia="仿宋" w:cs="楷体"/>
          <w:b/>
          <w:bCs/>
          <w:kern w:val="0"/>
          <w:sz w:val="28"/>
          <w:szCs w:val="28"/>
        </w:rPr>
        <w:t>2招标文件</w:t>
      </w:r>
      <w:bookmarkEnd w:id="101"/>
      <w:bookmarkEnd w:id="102"/>
      <w:bookmarkEnd w:id="103"/>
      <w:bookmarkEnd w:id="104"/>
      <w:bookmarkEnd w:id="105"/>
    </w:p>
    <w:p>
      <w:pPr>
        <w:widowControl/>
        <w:spacing w:line="360" w:lineRule="auto"/>
        <w:ind w:firstLine="198" w:firstLineChars="82"/>
        <w:jc w:val="left"/>
        <w:outlineLvl w:val="2"/>
        <w:rPr>
          <w:rFonts w:ascii="仿宋" w:hAnsi="仿宋" w:eastAsia="仿宋" w:cs="楷体"/>
          <w:b/>
          <w:kern w:val="0"/>
          <w:sz w:val="24"/>
        </w:rPr>
      </w:pPr>
      <w:bookmarkStart w:id="106" w:name="_Toc477543756"/>
      <w:bookmarkStart w:id="107" w:name="_Toc11663616"/>
      <w:bookmarkStart w:id="108" w:name="_Toc60241455"/>
      <w:bookmarkStart w:id="109" w:name="_Toc151390354"/>
      <w:r>
        <w:rPr>
          <w:rFonts w:ascii="仿宋" w:hAnsi="仿宋" w:eastAsia="仿宋" w:cs="楷体"/>
          <w:b/>
          <w:kern w:val="0"/>
          <w:sz w:val="24"/>
        </w:rPr>
        <w:t>2.</w:t>
      </w:r>
      <w:r>
        <w:rPr>
          <w:rFonts w:hint="eastAsia" w:ascii="仿宋" w:hAnsi="仿宋" w:eastAsia="仿宋" w:cs="楷体"/>
          <w:b/>
          <w:kern w:val="0"/>
          <w:sz w:val="24"/>
        </w:rPr>
        <w:t>2.1 招标文件的组成及内容</w:t>
      </w:r>
      <w:bookmarkEnd w:id="106"/>
      <w:bookmarkEnd w:id="107"/>
      <w:bookmarkEnd w:id="108"/>
      <w:bookmarkEnd w:id="109"/>
    </w:p>
    <w:p>
      <w:pPr>
        <w:widowControl/>
        <w:spacing w:line="360" w:lineRule="auto"/>
        <w:ind w:firstLine="480" w:firstLineChars="200"/>
        <w:jc w:val="left"/>
        <w:rPr>
          <w:rFonts w:ascii="仿宋" w:hAnsi="仿宋" w:eastAsia="仿宋" w:cs="楷体"/>
          <w:kern w:val="0"/>
          <w:sz w:val="24"/>
        </w:rPr>
      </w:pPr>
      <w:r>
        <w:rPr>
          <w:rFonts w:ascii="仿宋" w:hAnsi="仿宋" w:eastAsia="仿宋" w:cs="楷体"/>
          <w:kern w:val="0"/>
          <w:sz w:val="24"/>
        </w:rPr>
        <w:t>2.</w:t>
      </w:r>
      <w:r>
        <w:rPr>
          <w:rFonts w:hint="eastAsia" w:ascii="仿宋" w:hAnsi="仿宋" w:eastAsia="仿宋" w:cs="楷体"/>
          <w:kern w:val="0"/>
          <w:sz w:val="24"/>
        </w:rPr>
        <w:t>2.1.1招标文件包括：</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（1）招标公告</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（2）投标人须知</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（3）评标办法</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（4）合同及附件</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（5）投标文件格式及内容</w:t>
      </w:r>
    </w:p>
    <w:p>
      <w:pPr>
        <w:widowControl/>
        <w:spacing w:line="360" w:lineRule="auto"/>
        <w:ind w:firstLine="480" w:firstLineChars="200"/>
        <w:jc w:val="left"/>
        <w:rPr>
          <w:rFonts w:ascii="仿宋" w:hAnsi="仿宋" w:eastAsia="仿宋" w:cs="楷体"/>
          <w:kern w:val="0"/>
          <w:sz w:val="24"/>
        </w:rPr>
      </w:pPr>
      <w:r>
        <w:rPr>
          <w:rFonts w:hint="eastAsia" w:ascii="仿宋" w:hAnsi="仿宋" w:eastAsia="仿宋" w:cs="楷体"/>
          <w:kern w:val="0"/>
          <w:sz w:val="24"/>
        </w:rPr>
        <w:t>（6）需求一览表</w:t>
      </w:r>
    </w:p>
    <w:p>
      <w:pPr>
        <w:widowControl/>
        <w:spacing w:line="360" w:lineRule="auto"/>
        <w:ind w:firstLine="198" w:firstLineChars="82"/>
        <w:jc w:val="left"/>
        <w:outlineLvl w:val="2"/>
        <w:rPr>
          <w:rFonts w:ascii="仿宋" w:hAnsi="仿宋" w:eastAsia="仿宋" w:cs="楷体"/>
          <w:b/>
          <w:kern w:val="0"/>
          <w:sz w:val="24"/>
        </w:rPr>
      </w:pPr>
      <w:bookmarkStart w:id="110" w:name="_Toc11663617"/>
      <w:bookmarkStart w:id="111" w:name="_Toc60241456"/>
      <w:bookmarkStart w:id="112" w:name="_Toc477543757"/>
      <w:bookmarkStart w:id="113" w:name="_Toc151390355"/>
      <w:r>
        <w:rPr>
          <w:rFonts w:ascii="仿宋" w:hAnsi="仿宋" w:eastAsia="仿宋" w:cs="楷体"/>
          <w:b/>
          <w:kern w:val="0"/>
          <w:sz w:val="24"/>
        </w:rPr>
        <w:t>2.</w:t>
      </w:r>
      <w:r>
        <w:rPr>
          <w:rFonts w:hint="eastAsia" w:ascii="仿宋" w:hAnsi="仿宋" w:eastAsia="仿宋" w:cs="楷体"/>
          <w:b/>
          <w:kern w:val="0"/>
          <w:sz w:val="24"/>
        </w:rPr>
        <w:t>2.2 招标文件的澄清</w:t>
      </w:r>
      <w:bookmarkEnd w:id="110"/>
      <w:bookmarkEnd w:id="111"/>
      <w:bookmarkEnd w:id="112"/>
      <w:bookmarkEnd w:id="113"/>
    </w:p>
    <w:p>
      <w:pPr>
        <w:widowControl/>
        <w:spacing w:line="360" w:lineRule="auto"/>
        <w:ind w:firstLine="480" w:firstLineChars="200"/>
        <w:jc w:val="left"/>
        <w:rPr>
          <w:rFonts w:ascii="仿宋" w:hAnsi="仿宋" w:eastAsia="仿宋" w:cs="楷体"/>
          <w:kern w:val="0"/>
          <w:sz w:val="24"/>
        </w:rPr>
      </w:pPr>
      <w:r>
        <w:rPr>
          <w:rFonts w:ascii="仿宋" w:hAnsi="仿宋" w:eastAsia="仿宋" w:cs="楷体"/>
          <w:kern w:val="0"/>
          <w:sz w:val="24"/>
        </w:rPr>
        <w:t>2.</w:t>
      </w:r>
      <w:r>
        <w:rPr>
          <w:rFonts w:hint="eastAsia" w:ascii="仿宋" w:hAnsi="仿宋" w:eastAsia="仿宋" w:cs="楷体"/>
          <w:kern w:val="0"/>
          <w:sz w:val="24"/>
        </w:rPr>
        <w:t>2.2.1投标人应仔细阅读和检查招标文件的全部内容。如发现缺页或者附件不全，应及时向招标人提出，以便补齐。如有疑问，应按投标人须知前附表规定的时间和形式通过电子邮件向招标人提出，要求对招标文件予以澄清，发送地址：1</w:t>
      </w:r>
      <w:r>
        <w:rPr>
          <w:rFonts w:ascii="仿宋" w:hAnsi="仿宋" w:eastAsia="仿宋" w:cs="楷体"/>
          <w:kern w:val="0"/>
          <w:sz w:val="24"/>
        </w:rPr>
        <w:t>391230637@QQ</w:t>
      </w:r>
      <w:r>
        <w:rPr>
          <w:rFonts w:hint="eastAsia" w:ascii="仿宋" w:hAnsi="仿宋" w:eastAsia="仿宋" w:cs="楷体"/>
          <w:kern w:val="0"/>
          <w:sz w:val="24"/>
        </w:rPr>
        <w:t>.</w:t>
      </w:r>
      <w:r>
        <w:rPr>
          <w:rFonts w:ascii="仿宋" w:hAnsi="仿宋" w:eastAsia="仿宋" w:cs="楷体"/>
          <w:kern w:val="0"/>
          <w:sz w:val="24"/>
        </w:rPr>
        <w:t>COM</w:t>
      </w:r>
      <w:r>
        <w:rPr>
          <w:rFonts w:hint="eastAsia" w:ascii="仿宋" w:hAnsi="仿宋" w:eastAsia="仿宋" w:cs="楷体"/>
          <w:kern w:val="0"/>
          <w:sz w:val="24"/>
        </w:rPr>
        <w:t>。</w:t>
      </w:r>
    </w:p>
    <w:p>
      <w:pPr>
        <w:widowControl/>
        <w:spacing w:line="360" w:lineRule="auto"/>
        <w:ind w:firstLine="480" w:firstLineChars="200"/>
        <w:jc w:val="left"/>
        <w:rPr>
          <w:rFonts w:ascii="仿宋" w:hAnsi="仿宋" w:eastAsia="仿宋" w:cs="楷体"/>
          <w:kern w:val="0"/>
          <w:sz w:val="24"/>
        </w:rPr>
      </w:pPr>
      <w:r>
        <w:rPr>
          <w:rFonts w:ascii="仿宋" w:hAnsi="仿宋" w:eastAsia="仿宋" w:cs="楷体"/>
          <w:kern w:val="0"/>
          <w:sz w:val="24"/>
        </w:rPr>
        <w:t>2.</w:t>
      </w:r>
      <w:r>
        <w:rPr>
          <w:rFonts w:hint="eastAsia" w:ascii="仿宋" w:hAnsi="仿宋" w:eastAsia="仿宋" w:cs="楷体"/>
          <w:kern w:val="0"/>
          <w:sz w:val="24"/>
        </w:rPr>
        <w:t>2.2.2招标文件的澄清以投标人须知前附表规定的形式发给所有成功报名的投标人，但不指明澄清问题的来源。将在投标人须知前附表规定的投标截止时间</w:t>
      </w:r>
      <w:r>
        <w:rPr>
          <w:rFonts w:ascii="仿宋" w:hAnsi="仿宋" w:eastAsia="仿宋" w:cs="楷体"/>
          <w:kern w:val="0"/>
          <w:sz w:val="24"/>
        </w:rPr>
        <w:t>7</w:t>
      </w:r>
      <w:r>
        <w:rPr>
          <w:rFonts w:hint="eastAsia" w:ascii="仿宋" w:hAnsi="仿宋" w:eastAsia="仿宋" w:cs="楷体"/>
          <w:kern w:val="0"/>
          <w:sz w:val="24"/>
        </w:rPr>
        <w:t>天前通过招标人官方网站或电子邮件公布。对于招标文件中已非常明确的内容，投标人提出澄清问题，招标人将不予回复。</w:t>
      </w:r>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2.2.3除非招标人认为确有必要答复，否则，招标人有权拒绝回复投标人在规定的时间后的任何澄清要求。</w:t>
      </w:r>
    </w:p>
    <w:p>
      <w:pPr>
        <w:keepNext/>
        <w:keepLines/>
        <w:spacing w:before="156" w:after="156"/>
        <w:outlineLvl w:val="2"/>
        <w:rPr>
          <w:rFonts w:ascii="仿宋" w:hAnsi="仿宋" w:eastAsia="仿宋"/>
          <w:b/>
          <w:bCs/>
          <w:kern w:val="0"/>
          <w:sz w:val="24"/>
          <w:szCs w:val="32"/>
        </w:rPr>
      </w:pPr>
      <w:bookmarkStart w:id="114" w:name="_Toc60241457"/>
      <w:bookmarkStart w:id="115" w:name="_Toc11880"/>
      <w:bookmarkStart w:id="116" w:name="_Toc3859"/>
      <w:bookmarkStart w:id="117" w:name="_Toc514751505"/>
      <w:bookmarkStart w:id="118" w:name="_Toc151390356"/>
      <w:bookmarkStart w:id="119" w:name="_Toc477196073"/>
      <w:bookmarkStart w:id="120" w:name="_Toc11663620"/>
      <w:bookmarkStart w:id="121" w:name="_Toc477543760"/>
      <w:r>
        <w:rPr>
          <w:rFonts w:ascii="仿宋" w:hAnsi="仿宋" w:eastAsia="仿宋"/>
          <w:b/>
          <w:bCs/>
          <w:kern w:val="0"/>
          <w:sz w:val="24"/>
          <w:szCs w:val="32"/>
        </w:rPr>
        <w:t>2.</w:t>
      </w:r>
      <w:r>
        <w:rPr>
          <w:rFonts w:hint="eastAsia" w:ascii="仿宋" w:hAnsi="仿宋" w:eastAsia="仿宋"/>
          <w:b/>
          <w:bCs/>
          <w:kern w:val="0"/>
          <w:sz w:val="24"/>
          <w:szCs w:val="32"/>
        </w:rPr>
        <w:t>2.3 招标文件的修改</w:t>
      </w:r>
      <w:bookmarkEnd w:id="114"/>
      <w:bookmarkEnd w:id="115"/>
      <w:bookmarkEnd w:id="116"/>
      <w:bookmarkEnd w:id="117"/>
      <w:bookmarkEnd w:id="118"/>
    </w:p>
    <w:p>
      <w:pPr>
        <w:widowControl/>
        <w:spacing w:line="360" w:lineRule="auto"/>
        <w:ind w:firstLine="480" w:firstLineChars="200"/>
        <w:jc w:val="left"/>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2.3.1招标人以投标人须知前附表规定的形式修改招标文件，并书面通知所有已报名此次招标的投标人。</w:t>
      </w:r>
    </w:p>
    <w:p>
      <w:pPr>
        <w:widowControl/>
        <w:spacing w:line="360" w:lineRule="auto"/>
        <w:ind w:firstLine="480" w:firstLineChars="200"/>
        <w:jc w:val="left"/>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2.3.2招标人对招标文件修改距投标截止时间不足15天的，并且修改内容可能影响投标文件编制的，将相应延长投标截止时间。</w:t>
      </w:r>
    </w:p>
    <w:p>
      <w:pPr>
        <w:keepNext/>
        <w:keepLines/>
        <w:spacing w:before="156" w:after="156"/>
        <w:outlineLvl w:val="2"/>
        <w:rPr>
          <w:rFonts w:ascii="仿宋" w:hAnsi="仿宋" w:eastAsia="仿宋"/>
          <w:b/>
          <w:bCs/>
          <w:kern w:val="0"/>
          <w:sz w:val="24"/>
          <w:szCs w:val="32"/>
        </w:rPr>
      </w:pPr>
      <w:bookmarkStart w:id="122" w:name="_Toc514751506"/>
      <w:bookmarkStart w:id="123" w:name="_Toc28608"/>
      <w:bookmarkStart w:id="124" w:name="_Toc32565"/>
      <w:bookmarkStart w:id="125" w:name="_Toc60241458"/>
      <w:bookmarkStart w:id="126" w:name="_Toc29786"/>
      <w:bookmarkStart w:id="127" w:name="_Toc151390357"/>
      <w:r>
        <w:rPr>
          <w:rFonts w:ascii="仿宋" w:hAnsi="仿宋" w:eastAsia="仿宋"/>
          <w:b/>
          <w:bCs/>
          <w:kern w:val="0"/>
          <w:sz w:val="24"/>
          <w:szCs w:val="32"/>
        </w:rPr>
        <w:t>2.</w:t>
      </w:r>
      <w:r>
        <w:rPr>
          <w:rFonts w:hint="eastAsia" w:ascii="仿宋" w:hAnsi="仿宋" w:eastAsia="仿宋"/>
          <w:b/>
          <w:bCs/>
          <w:kern w:val="0"/>
          <w:sz w:val="24"/>
          <w:szCs w:val="32"/>
        </w:rPr>
        <w:t>2.4 对招标文件的异议</w:t>
      </w:r>
      <w:bookmarkEnd w:id="122"/>
      <w:bookmarkEnd w:id="123"/>
      <w:bookmarkEnd w:id="124"/>
      <w:bookmarkEnd w:id="125"/>
      <w:bookmarkEnd w:id="126"/>
      <w:bookmarkEnd w:id="127"/>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投标人或者其他利害关系人对招标文件有异议的，应当在投标截止时间10天前以书面形式提出。招标人将在收到异议之日起3日内做出答复；作出答复前，将暂停招标投标活动。</w:t>
      </w:r>
    </w:p>
    <w:bookmarkEnd w:id="119"/>
    <w:bookmarkEnd w:id="120"/>
    <w:bookmarkEnd w:id="121"/>
    <w:p>
      <w:pPr>
        <w:widowControl/>
        <w:spacing w:before="120" w:after="60" w:line="360" w:lineRule="auto"/>
        <w:jc w:val="left"/>
        <w:outlineLvl w:val="1"/>
        <w:rPr>
          <w:rFonts w:ascii="仿宋" w:hAnsi="仿宋" w:eastAsia="仿宋" w:cs="楷体"/>
          <w:b/>
          <w:bCs/>
          <w:kern w:val="0"/>
          <w:sz w:val="28"/>
          <w:szCs w:val="28"/>
        </w:rPr>
      </w:pPr>
      <w:bookmarkStart w:id="128" w:name="_Toc20668"/>
      <w:bookmarkStart w:id="129" w:name="_Toc514751507"/>
      <w:bookmarkStart w:id="130" w:name="_Toc20772"/>
      <w:bookmarkStart w:id="131" w:name="_Toc3851"/>
      <w:bookmarkStart w:id="132" w:name="_Toc60241459"/>
      <w:bookmarkStart w:id="133" w:name="_Toc151390358"/>
      <w:bookmarkStart w:id="134" w:name="_Toc477196074"/>
      <w:bookmarkStart w:id="135" w:name="_Toc11663628"/>
      <w:bookmarkStart w:id="136" w:name="_Toc477543768"/>
      <w:r>
        <w:rPr>
          <w:rFonts w:ascii="仿宋" w:hAnsi="仿宋" w:eastAsia="仿宋" w:cs="楷体"/>
          <w:b/>
          <w:bCs/>
          <w:kern w:val="0"/>
          <w:sz w:val="28"/>
          <w:szCs w:val="28"/>
        </w:rPr>
        <w:t>2.</w:t>
      </w:r>
      <w:r>
        <w:rPr>
          <w:rFonts w:hint="eastAsia" w:ascii="仿宋" w:hAnsi="仿宋" w:eastAsia="仿宋" w:cs="楷体"/>
          <w:b/>
          <w:bCs/>
          <w:kern w:val="0"/>
          <w:sz w:val="28"/>
          <w:szCs w:val="28"/>
        </w:rPr>
        <w:t>3投标文件</w:t>
      </w:r>
      <w:bookmarkEnd w:id="128"/>
      <w:bookmarkEnd w:id="129"/>
      <w:bookmarkEnd w:id="130"/>
      <w:bookmarkEnd w:id="131"/>
      <w:bookmarkEnd w:id="132"/>
      <w:bookmarkEnd w:id="133"/>
    </w:p>
    <w:p>
      <w:pPr>
        <w:widowControl/>
        <w:spacing w:line="360" w:lineRule="auto"/>
        <w:ind w:firstLine="198" w:firstLineChars="82"/>
        <w:jc w:val="left"/>
        <w:outlineLvl w:val="2"/>
        <w:rPr>
          <w:rFonts w:ascii="仿宋" w:hAnsi="仿宋" w:eastAsia="仿宋" w:cs="楷体"/>
          <w:b/>
          <w:kern w:val="0"/>
          <w:sz w:val="24"/>
        </w:rPr>
      </w:pPr>
      <w:bookmarkStart w:id="137" w:name="_Toc60241460"/>
      <w:bookmarkStart w:id="138" w:name="_Toc15491"/>
      <w:bookmarkStart w:id="139" w:name="_Toc25482"/>
      <w:bookmarkStart w:id="140" w:name="_Toc12145"/>
      <w:bookmarkStart w:id="141" w:name="_Toc514751508"/>
      <w:bookmarkStart w:id="142" w:name="_Toc151390359"/>
      <w:r>
        <w:rPr>
          <w:rFonts w:ascii="仿宋" w:hAnsi="仿宋" w:eastAsia="仿宋" w:cs="楷体"/>
          <w:b/>
          <w:kern w:val="0"/>
          <w:sz w:val="24"/>
        </w:rPr>
        <w:t>2.</w:t>
      </w:r>
      <w:r>
        <w:rPr>
          <w:rFonts w:hint="eastAsia" w:ascii="仿宋" w:hAnsi="仿宋" w:eastAsia="仿宋" w:cs="楷体"/>
          <w:b/>
          <w:kern w:val="0"/>
          <w:sz w:val="24"/>
        </w:rPr>
        <w:t>3.1 投标文件的组成</w:t>
      </w:r>
      <w:bookmarkEnd w:id="137"/>
      <w:bookmarkEnd w:id="138"/>
      <w:bookmarkEnd w:id="139"/>
      <w:bookmarkEnd w:id="140"/>
      <w:bookmarkEnd w:id="141"/>
      <w:bookmarkEnd w:id="142"/>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3.1.1投标文件包括下列内容：</w:t>
      </w:r>
    </w:p>
    <w:p>
      <w:pPr>
        <w:spacing w:line="360" w:lineRule="auto"/>
        <w:ind w:firstLine="480" w:firstLineChars="200"/>
        <w:rPr>
          <w:rFonts w:ascii="仿宋" w:hAnsi="仿宋" w:eastAsia="仿宋"/>
          <w:sz w:val="24"/>
        </w:rPr>
      </w:pPr>
      <w:r>
        <w:rPr>
          <w:rFonts w:hint="eastAsia" w:ascii="仿宋" w:hAnsi="仿宋" w:eastAsia="仿宋"/>
          <w:sz w:val="24"/>
        </w:rPr>
        <w:t>第一部分  商务部分</w:t>
      </w:r>
    </w:p>
    <w:p>
      <w:pPr>
        <w:spacing w:line="54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投标函</w:t>
      </w:r>
    </w:p>
    <w:p>
      <w:pPr>
        <w:spacing w:line="540" w:lineRule="exact"/>
        <w:ind w:firstLine="480" w:firstLineChars="200"/>
        <w:rPr>
          <w:rFonts w:ascii="仿宋_GB2312" w:eastAsia="仿宋_GB2312"/>
          <w:sz w:val="24"/>
        </w:rPr>
      </w:pPr>
      <w:r>
        <w:rPr>
          <w:rFonts w:hint="eastAsia" w:ascii="仿宋_GB2312" w:eastAsia="仿宋_GB2312"/>
          <w:sz w:val="24"/>
        </w:rPr>
        <w:t>2、法定代表人证明书及身份证复印件</w:t>
      </w:r>
    </w:p>
    <w:p>
      <w:pPr>
        <w:spacing w:line="5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、法定代表人授权委托书</w:t>
      </w:r>
      <w:r>
        <w:rPr>
          <w:rFonts w:hint="eastAsia" w:ascii="仿宋_GB2312" w:eastAsia="仿宋_GB2312"/>
          <w:sz w:val="24"/>
        </w:rPr>
        <w:t>（如非法定代表本人投标）及受委托人身份证复印件</w:t>
      </w:r>
    </w:p>
    <w:p>
      <w:pPr>
        <w:spacing w:line="540" w:lineRule="exact"/>
        <w:ind w:firstLine="480" w:firstLineChars="200"/>
        <w:rPr>
          <w:rFonts w:ascii="仿宋_GB2312" w:eastAsia="仿宋_GB2312"/>
          <w:sz w:val="24"/>
        </w:rPr>
      </w:pPr>
      <w:r>
        <w:rPr>
          <w:rFonts w:hint="eastAsia" w:ascii="仿宋_GB2312" w:eastAsia="仿宋_GB2312"/>
          <w:sz w:val="24"/>
        </w:rPr>
        <w:t>4</w:t>
      </w:r>
      <w:r>
        <w:rPr>
          <w:rFonts w:ascii="仿宋_GB2312" w:eastAsia="仿宋_GB2312"/>
          <w:sz w:val="24"/>
        </w:rPr>
        <w:t>、投标人公司简介</w:t>
      </w:r>
      <w:r>
        <w:rPr>
          <w:rFonts w:hint="eastAsia" w:ascii="仿宋_GB2312" w:eastAsia="仿宋_GB2312"/>
          <w:sz w:val="24"/>
        </w:rPr>
        <w:t>（人员、场地、营业额、客户群体等介绍）</w:t>
      </w:r>
    </w:p>
    <w:p>
      <w:pPr>
        <w:spacing w:line="540" w:lineRule="exact"/>
        <w:ind w:firstLine="480" w:firstLineChars="200"/>
        <w:rPr>
          <w:rFonts w:ascii="仿宋_GB2312" w:eastAsia="仿宋_GB2312"/>
          <w:sz w:val="24"/>
        </w:rPr>
      </w:pPr>
      <w:r>
        <w:rPr>
          <w:rFonts w:hint="eastAsia" w:ascii="仿宋_GB2312" w:eastAsia="仿宋_GB2312"/>
          <w:sz w:val="24"/>
        </w:rPr>
        <w:t>5</w:t>
      </w:r>
      <w:r>
        <w:rPr>
          <w:rFonts w:ascii="仿宋_GB2312" w:eastAsia="仿宋_GB2312"/>
          <w:sz w:val="24"/>
        </w:rPr>
        <w:t>、企业基本</w:t>
      </w:r>
      <w:r>
        <w:rPr>
          <w:rFonts w:hint="eastAsia" w:ascii="仿宋_GB2312" w:eastAsia="仿宋_GB2312"/>
          <w:sz w:val="24"/>
        </w:rPr>
        <w:t>证件</w:t>
      </w:r>
      <w:r>
        <w:rPr>
          <w:rFonts w:ascii="仿宋_GB2312" w:eastAsia="仿宋_GB2312"/>
          <w:sz w:val="24"/>
        </w:rPr>
        <w:t>复印件</w:t>
      </w:r>
      <w:r>
        <w:rPr>
          <w:rFonts w:hint="eastAsia" w:ascii="仿宋_GB2312" w:eastAsia="仿宋_GB2312"/>
          <w:sz w:val="24"/>
        </w:rPr>
        <w:t>及道路运输许可证等相关资质证明</w:t>
      </w:r>
    </w:p>
    <w:p>
      <w:pPr>
        <w:spacing w:line="540" w:lineRule="exact"/>
        <w:ind w:firstLine="480" w:firstLineChars="200"/>
        <w:rPr>
          <w:rFonts w:ascii="仿宋_GB2312" w:eastAsia="仿宋_GB2312"/>
          <w:sz w:val="24"/>
        </w:rPr>
      </w:pPr>
      <w:r>
        <w:rPr>
          <w:rFonts w:hint="eastAsia" w:ascii="仿宋_GB2312" w:eastAsia="仿宋_GB2312"/>
          <w:sz w:val="24"/>
        </w:rPr>
        <w:t>6、报价函</w:t>
      </w:r>
    </w:p>
    <w:p>
      <w:pPr>
        <w:widowControl/>
        <w:spacing w:line="360" w:lineRule="auto"/>
        <w:ind w:firstLine="480" w:firstLineChars="200"/>
        <w:jc w:val="left"/>
        <w:rPr>
          <w:rFonts w:ascii="仿宋" w:hAnsi="仿宋" w:eastAsia="仿宋"/>
          <w:kern w:val="0"/>
          <w:sz w:val="24"/>
        </w:rPr>
      </w:pPr>
      <w:r>
        <w:rPr>
          <w:rFonts w:hint="eastAsia" w:ascii="仿宋_GB2312" w:eastAsia="仿宋_GB2312"/>
          <w:sz w:val="24"/>
        </w:rPr>
        <w:t>7、投标人认为应补充的其他资料</w:t>
      </w:r>
    </w:p>
    <w:p>
      <w:pPr>
        <w:spacing w:line="360" w:lineRule="auto"/>
        <w:ind w:firstLine="480" w:firstLineChars="200"/>
        <w:rPr>
          <w:rFonts w:ascii="仿宋" w:hAnsi="仿宋" w:eastAsia="仿宋"/>
          <w:sz w:val="24"/>
        </w:rPr>
      </w:pPr>
      <w:r>
        <w:rPr>
          <w:rFonts w:hint="eastAsia" w:ascii="仿宋" w:hAnsi="仿宋" w:eastAsia="仿宋"/>
          <w:sz w:val="24"/>
        </w:rPr>
        <w:t>投标人在评标过程中作出的符合法律法规和招标文件规定的澄清确认，构成投标文件的组成部分。</w:t>
      </w:r>
    </w:p>
    <w:p>
      <w:pPr>
        <w:widowControl/>
        <w:spacing w:line="360" w:lineRule="auto"/>
        <w:ind w:firstLine="198" w:firstLineChars="82"/>
        <w:jc w:val="left"/>
        <w:outlineLvl w:val="2"/>
        <w:rPr>
          <w:rFonts w:ascii="仿宋" w:hAnsi="仿宋" w:eastAsia="仿宋" w:cs="楷体"/>
          <w:b/>
          <w:kern w:val="0"/>
          <w:sz w:val="24"/>
        </w:rPr>
      </w:pPr>
      <w:bookmarkStart w:id="143" w:name="_Toc3147"/>
      <w:bookmarkStart w:id="144" w:name="_Toc60241461"/>
      <w:bookmarkStart w:id="145" w:name="_Toc19143"/>
      <w:bookmarkStart w:id="146" w:name="_Toc514751509"/>
      <w:bookmarkStart w:id="147" w:name="_Toc11852"/>
      <w:bookmarkStart w:id="148" w:name="_Toc151390360"/>
      <w:r>
        <w:rPr>
          <w:rFonts w:ascii="仿宋" w:hAnsi="仿宋" w:eastAsia="仿宋" w:cs="楷体"/>
          <w:b/>
          <w:kern w:val="0"/>
          <w:sz w:val="24"/>
        </w:rPr>
        <w:t>2.</w:t>
      </w:r>
      <w:r>
        <w:rPr>
          <w:rFonts w:hint="eastAsia" w:ascii="仿宋" w:hAnsi="仿宋" w:eastAsia="仿宋" w:cs="楷体"/>
          <w:b/>
          <w:kern w:val="0"/>
          <w:sz w:val="24"/>
        </w:rPr>
        <w:t>3.2 投标报价</w:t>
      </w:r>
      <w:bookmarkEnd w:id="143"/>
      <w:bookmarkEnd w:id="144"/>
      <w:bookmarkEnd w:id="145"/>
      <w:bookmarkEnd w:id="146"/>
      <w:bookmarkEnd w:id="147"/>
      <w:bookmarkEnd w:id="148"/>
    </w:p>
    <w:p>
      <w:pPr>
        <w:spacing w:line="360" w:lineRule="auto"/>
        <w:ind w:firstLine="480" w:firstLineChars="200"/>
        <w:rPr>
          <w:rFonts w:ascii="仿宋" w:hAnsi="仿宋" w:eastAsia="仿宋"/>
          <w:sz w:val="24"/>
        </w:rPr>
      </w:pPr>
      <w:r>
        <w:rPr>
          <w:rFonts w:hint="eastAsia" w:ascii="仿宋" w:hAnsi="仿宋" w:eastAsia="仿宋"/>
          <w:sz w:val="24"/>
        </w:rPr>
        <w:t>（1）投标报价，全国（不包含港澳台地区）按运输区域进行报价，区域日运输量按吨位以阶梯价报价，价格为固定价包含装车、运输、卸货等一切费用，合同期内将不再变更，报价为当前税率含税价格，如税率调整运费需按税率对应点数比进行调整。</w:t>
      </w:r>
    </w:p>
    <w:p>
      <w:pPr>
        <w:spacing w:line="360" w:lineRule="auto"/>
        <w:ind w:firstLine="480" w:firstLineChars="200"/>
        <w:rPr>
          <w:rFonts w:ascii="仿宋" w:hAnsi="仿宋" w:eastAsia="仿宋"/>
          <w:sz w:val="24"/>
        </w:rPr>
      </w:pPr>
      <w:r>
        <w:rPr>
          <w:rFonts w:hint="eastAsia" w:ascii="仿宋" w:hAnsi="仿宋" w:eastAsia="仿宋"/>
          <w:sz w:val="24"/>
        </w:rPr>
        <w:t>（2）账期：运输后，次月进行对账，白单回收完整按月结算，开票后</w:t>
      </w:r>
      <w:r>
        <w:rPr>
          <w:rFonts w:ascii="仿宋" w:hAnsi="仿宋" w:eastAsia="仿宋"/>
          <w:sz w:val="24"/>
        </w:rPr>
        <w:t>1</w:t>
      </w:r>
      <w:r>
        <w:rPr>
          <w:rFonts w:hint="eastAsia" w:ascii="仿宋" w:hAnsi="仿宋" w:eastAsia="仿宋"/>
          <w:sz w:val="24"/>
        </w:rPr>
        <w:t>个月内付款。</w:t>
      </w:r>
    </w:p>
    <w:p>
      <w:pPr>
        <w:spacing w:line="360" w:lineRule="auto"/>
        <w:ind w:firstLine="480" w:firstLineChars="200"/>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）结算方式</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①银行承兑汇票：期限</w:t>
      </w:r>
      <w:r>
        <w:rPr>
          <w:rFonts w:ascii="仿宋" w:hAnsi="仿宋" w:eastAsia="仿宋"/>
          <w:sz w:val="24"/>
        </w:rPr>
        <w:t>5</w:t>
      </w:r>
      <w:r>
        <w:rPr>
          <w:rFonts w:hint="eastAsia" w:ascii="仿宋" w:hAnsi="仿宋" w:eastAsia="仿宋"/>
          <w:sz w:val="24"/>
        </w:rPr>
        <w:t>个月。包含各类村镇银行。超过5个月按支付当天中国银行贴现率执行支付资金费用；</w:t>
      </w:r>
    </w:p>
    <w:p>
      <w:pPr>
        <w:spacing w:line="360" w:lineRule="auto"/>
        <w:ind w:firstLine="480" w:firstLineChars="200"/>
        <w:rPr>
          <w:rFonts w:ascii="仿宋" w:hAnsi="仿宋" w:eastAsia="仿宋"/>
          <w:sz w:val="24"/>
        </w:rPr>
      </w:pPr>
      <w:r>
        <w:rPr>
          <w:rFonts w:hint="eastAsia" w:ascii="仿宋" w:hAnsi="仿宋" w:eastAsia="仿宋"/>
          <w:sz w:val="24"/>
        </w:rPr>
        <w:t>②</w:t>
      </w:r>
      <w:r>
        <w:rPr>
          <w:rFonts w:ascii="仿宋" w:hAnsi="仿宋" w:eastAsia="仿宋"/>
          <w:sz w:val="24"/>
        </w:rPr>
        <w:t>供应链金融产品：期限</w:t>
      </w:r>
      <w:r>
        <w:rPr>
          <w:rFonts w:hint="eastAsia" w:ascii="仿宋" w:hAnsi="仿宋" w:eastAsia="仿宋"/>
          <w:sz w:val="24"/>
        </w:rPr>
        <w:t>3个月。包含但不限于中企云链、云诺、云信、建信融通等平台；超过</w:t>
      </w:r>
      <w:r>
        <w:rPr>
          <w:rFonts w:ascii="仿宋" w:hAnsi="仿宋" w:eastAsia="仿宋"/>
          <w:sz w:val="24"/>
        </w:rPr>
        <w:t>3</w:t>
      </w:r>
      <w:r>
        <w:rPr>
          <w:rFonts w:hint="eastAsia" w:ascii="仿宋" w:hAnsi="仿宋" w:eastAsia="仿宋"/>
          <w:sz w:val="24"/>
        </w:rPr>
        <w:t>个月按支付当天中国银行一年期贷款基准利率计算资金费用，由我司和供应商各自承担一半；</w:t>
      </w:r>
    </w:p>
    <w:p>
      <w:pPr>
        <w:spacing w:line="360" w:lineRule="auto"/>
        <w:ind w:firstLine="480" w:firstLineChars="200"/>
        <w:rPr>
          <w:rFonts w:ascii="仿宋" w:hAnsi="仿宋" w:eastAsia="仿宋"/>
          <w:sz w:val="24"/>
        </w:rPr>
      </w:pPr>
      <w:r>
        <w:rPr>
          <w:rFonts w:hint="eastAsia" w:ascii="仿宋" w:hAnsi="仿宋" w:eastAsia="仿宋"/>
          <w:sz w:val="24"/>
        </w:rPr>
        <w:t>③</w:t>
      </w:r>
      <w:r>
        <w:rPr>
          <w:rFonts w:ascii="仿宋" w:hAnsi="仿宋" w:eastAsia="仿宋"/>
          <w:sz w:val="24"/>
        </w:rPr>
        <w:t>非银行金融机构出具的承兑汇票：期限</w:t>
      </w:r>
      <w:r>
        <w:rPr>
          <w:rFonts w:hint="eastAsia" w:ascii="仿宋" w:hAnsi="仿宋" w:eastAsia="仿宋"/>
          <w:sz w:val="24"/>
        </w:rPr>
        <w:t>4个月。包含但不限于财务公司、信托等机构。超过</w:t>
      </w:r>
      <w:r>
        <w:rPr>
          <w:rFonts w:ascii="仿宋" w:hAnsi="仿宋" w:eastAsia="仿宋"/>
          <w:sz w:val="24"/>
        </w:rPr>
        <w:t>4</w:t>
      </w:r>
      <w:r>
        <w:rPr>
          <w:rFonts w:hint="eastAsia" w:ascii="仿宋" w:hAnsi="仿宋" w:eastAsia="仿宋"/>
          <w:sz w:val="24"/>
        </w:rPr>
        <w:t>个月按支付当天中国银行一年期贷款基准利率计算资金费用，由我司和供应商各自承担一半。</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投标参考价：自行报价，招标人不提供运输参考价。</w:t>
      </w:r>
    </w:p>
    <w:p>
      <w:pPr>
        <w:widowControl/>
        <w:spacing w:line="360" w:lineRule="auto"/>
        <w:ind w:firstLine="198" w:firstLineChars="82"/>
        <w:jc w:val="left"/>
        <w:outlineLvl w:val="2"/>
        <w:rPr>
          <w:rFonts w:ascii="仿宋" w:hAnsi="仿宋" w:eastAsia="仿宋" w:cs="楷体"/>
          <w:b/>
          <w:kern w:val="0"/>
          <w:sz w:val="24"/>
        </w:rPr>
      </w:pPr>
      <w:bookmarkStart w:id="149" w:name="_Toc1784"/>
      <w:bookmarkStart w:id="150" w:name="_Toc16635"/>
      <w:bookmarkStart w:id="151" w:name="_Toc12177"/>
      <w:bookmarkStart w:id="152" w:name="_Toc514751510"/>
      <w:bookmarkStart w:id="153" w:name="_Toc60241462"/>
      <w:bookmarkStart w:id="154" w:name="_Toc151390361"/>
      <w:r>
        <w:rPr>
          <w:rFonts w:ascii="仿宋" w:hAnsi="仿宋" w:eastAsia="仿宋" w:cs="楷体"/>
          <w:b/>
          <w:kern w:val="0"/>
          <w:sz w:val="24"/>
        </w:rPr>
        <w:t>2.</w:t>
      </w:r>
      <w:r>
        <w:rPr>
          <w:rFonts w:hint="eastAsia" w:ascii="仿宋" w:hAnsi="仿宋" w:eastAsia="仿宋" w:cs="楷体"/>
          <w:b/>
          <w:kern w:val="0"/>
          <w:sz w:val="24"/>
        </w:rPr>
        <w:t>3.3 投标有效期</w:t>
      </w:r>
      <w:bookmarkEnd w:id="149"/>
      <w:bookmarkEnd w:id="150"/>
      <w:bookmarkEnd w:id="151"/>
      <w:bookmarkEnd w:id="152"/>
      <w:bookmarkEnd w:id="153"/>
      <w:bookmarkEnd w:id="154"/>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3.3.1除投标人须知前附表另有规定外，投标有效期为90天。</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3.3.2在投标有效期内，投标人撤销投标文件的，应承担招标文件和法律规定的责任。</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widowControl/>
        <w:spacing w:line="360" w:lineRule="auto"/>
        <w:ind w:firstLine="198" w:firstLineChars="82"/>
        <w:jc w:val="left"/>
        <w:outlineLvl w:val="2"/>
        <w:rPr>
          <w:rFonts w:ascii="仿宋" w:hAnsi="仿宋" w:eastAsia="仿宋" w:cs="楷体"/>
          <w:b/>
          <w:kern w:val="0"/>
          <w:sz w:val="24"/>
        </w:rPr>
      </w:pPr>
      <w:bookmarkStart w:id="155" w:name="_Toc514751511"/>
      <w:bookmarkStart w:id="156" w:name="_Toc31386"/>
      <w:bookmarkStart w:id="157" w:name="_Toc6048"/>
      <w:bookmarkStart w:id="158" w:name="_Toc14805"/>
      <w:bookmarkStart w:id="159" w:name="_Toc60241463"/>
      <w:bookmarkStart w:id="160" w:name="_Toc151390362"/>
      <w:r>
        <w:rPr>
          <w:rFonts w:ascii="仿宋" w:hAnsi="仿宋" w:eastAsia="仿宋" w:cs="楷体"/>
          <w:b/>
          <w:kern w:val="0"/>
          <w:sz w:val="24"/>
        </w:rPr>
        <w:t>2.</w:t>
      </w:r>
      <w:r>
        <w:rPr>
          <w:rFonts w:hint="eastAsia" w:ascii="仿宋" w:hAnsi="仿宋" w:eastAsia="仿宋" w:cs="楷体"/>
          <w:b/>
          <w:kern w:val="0"/>
          <w:sz w:val="24"/>
        </w:rPr>
        <w:t>3.4 投标保证金</w:t>
      </w:r>
      <w:bookmarkEnd w:id="155"/>
      <w:bookmarkEnd w:id="156"/>
      <w:bookmarkEnd w:id="157"/>
      <w:bookmarkEnd w:id="158"/>
      <w:bookmarkEnd w:id="159"/>
      <w:bookmarkEnd w:id="160"/>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3.4.1投标人在递交投标文件的同时，应按投标人须知前附表规定的金额、担保形式递交投标保证金，并作为其投标文件的组成部分。</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3.4.2投标人不按本章第3.4.1项要求提交投标保证金的，评标委员会将否决其投标。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3.4.3招标人与中标人签订合同10日内，向未中标的投标人和中标人退还投标保证金。</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3.4.4有下列情形之一的，投标保证金将不予退还：</w:t>
      </w:r>
    </w:p>
    <w:p>
      <w:pPr>
        <w:spacing w:line="360" w:lineRule="auto"/>
        <w:ind w:firstLine="480" w:firstLineChars="200"/>
        <w:rPr>
          <w:rFonts w:ascii="仿宋" w:hAnsi="仿宋" w:eastAsia="仿宋"/>
          <w:sz w:val="24"/>
        </w:rPr>
      </w:pPr>
      <w:r>
        <w:rPr>
          <w:rFonts w:hint="eastAsia" w:ascii="仿宋" w:hAnsi="仿宋" w:eastAsia="仿宋"/>
          <w:sz w:val="24"/>
        </w:rPr>
        <w:t>（1）投标人在投标有效期内撤销投标文件；</w:t>
      </w:r>
    </w:p>
    <w:p>
      <w:pPr>
        <w:spacing w:line="360" w:lineRule="auto"/>
        <w:ind w:firstLine="480" w:firstLineChars="200"/>
        <w:rPr>
          <w:rFonts w:ascii="仿宋" w:hAnsi="仿宋" w:eastAsia="仿宋"/>
          <w:sz w:val="24"/>
        </w:rPr>
      </w:pPr>
      <w:r>
        <w:rPr>
          <w:rFonts w:hint="eastAsia" w:ascii="仿宋" w:hAnsi="仿宋" w:eastAsia="仿宋"/>
          <w:sz w:val="24"/>
        </w:rPr>
        <w:t>（2）中标人在收到中标通知书后，无正当理由不与招标人订立合同，在签订合同时向招标人提出附加条件，或者不按招标文件规定提交履约保证金；</w:t>
      </w:r>
    </w:p>
    <w:p>
      <w:pPr>
        <w:spacing w:line="360" w:lineRule="auto"/>
        <w:ind w:firstLine="480" w:firstLineChars="200"/>
        <w:rPr>
          <w:rFonts w:ascii="仿宋" w:hAnsi="仿宋" w:eastAsia="仿宋"/>
          <w:sz w:val="24"/>
        </w:rPr>
      </w:pPr>
      <w:r>
        <w:rPr>
          <w:rFonts w:hint="eastAsia" w:ascii="仿宋" w:hAnsi="仿宋" w:eastAsia="仿宋"/>
          <w:sz w:val="24"/>
        </w:rPr>
        <w:t>（3）发生投标人须知前附表规定的其他可以不予退还投标保证金的情形；</w:t>
      </w:r>
    </w:p>
    <w:p>
      <w:pPr>
        <w:spacing w:line="360" w:lineRule="auto"/>
        <w:ind w:firstLine="480" w:firstLineChars="200"/>
        <w:rPr>
          <w:rFonts w:ascii="仿宋" w:hAnsi="仿宋" w:eastAsia="仿宋"/>
          <w:sz w:val="24"/>
        </w:rPr>
      </w:pPr>
      <w:r>
        <w:rPr>
          <w:rFonts w:hint="eastAsia" w:ascii="仿宋" w:hAnsi="仿宋" w:eastAsia="仿宋"/>
          <w:sz w:val="24"/>
        </w:rPr>
        <w:t>（4）提供虚假材料的。</w:t>
      </w:r>
    </w:p>
    <w:p>
      <w:pPr>
        <w:widowControl/>
        <w:spacing w:line="360" w:lineRule="auto"/>
        <w:ind w:firstLine="198" w:firstLineChars="82"/>
        <w:jc w:val="left"/>
        <w:outlineLvl w:val="2"/>
        <w:rPr>
          <w:rFonts w:ascii="仿宋" w:hAnsi="仿宋" w:eastAsia="仿宋" w:cs="楷体"/>
          <w:b/>
          <w:kern w:val="0"/>
          <w:sz w:val="24"/>
        </w:rPr>
      </w:pPr>
      <w:bookmarkStart w:id="161" w:name="_Toc10842"/>
      <w:bookmarkStart w:id="162" w:name="_Toc60241464"/>
      <w:bookmarkStart w:id="163" w:name="_Toc23144"/>
      <w:bookmarkStart w:id="164" w:name="_Toc21950"/>
      <w:bookmarkStart w:id="165" w:name="_Toc151390363"/>
      <w:r>
        <w:rPr>
          <w:rFonts w:ascii="仿宋" w:hAnsi="仿宋" w:eastAsia="仿宋" w:cs="楷体"/>
          <w:b/>
          <w:kern w:val="0"/>
          <w:sz w:val="24"/>
        </w:rPr>
        <w:t>2.</w:t>
      </w:r>
      <w:r>
        <w:rPr>
          <w:rFonts w:hint="eastAsia" w:ascii="仿宋" w:hAnsi="仿宋" w:eastAsia="仿宋" w:cs="楷体"/>
          <w:b/>
          <w:kern w:val="0"/>
          <w:sz w:val="24"/>
        </w:rPr>
        <w:t>3.5 资格审查资料</w:t>
      </w:r>
      <w:bookmarkEnd w:id="161"/>
      <w:bookmarkEnd w:id="162"/>
      <w:bookmarkEnd w:id="163"/>
      <w:bookmarkEnd w:id="164"/>
      <w:bookmarkEnd w:id="165"/>
    </w:p>
    <w:p>
      <w:pPr>
        <w:spacing w:line="360" w:lineRule="auto"/>
        <w:ind w:firstLine="480" w:firstLineChars="200"/>
        <w:rPr>
          <w:rFonts w:ascii="仿宋" w:hAnsi="仿宋" w:eastAsia="仿宋"/>
          <w:sz w:val="24"/>
        </w:rPr>
      </w:pPr>
      <w:r>
        <w:rPr>
          <w:rFonts w:hint="eastAsia" w:ascii="仿宋" w:hAnsi="仿宋" w:eastAsia="仿宋"/>
          <w:sz w:val="24"/>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3.5.1“投标人基本情况表”应附投标人的营业执照等材料的复印件或扫描件。</w:t>
      </w:r>
    </w:p>
    <w:p>
      <w:pPr>
        <w:spacing w:line="360" w:lineRule="auto"/>
        <w:ind w:firstLine="480" w:firstLineChars="200"/>
        <w:rPr>
          <w:rFonts w:ascii="仿宋" w:hAnsi="仿宋" w:eastAsia="仿宋"/>
          <w:sz w:val="24"/>
        </w:rPr>
      </w:pPr>
      <w:r>
        <w:rPr>
          <w:rFonts w:hint="eastAsia" w:ascii="仿宋" w:hAnsi="仿宋" w:eastAsia="仿宋"/>
          <w:sz w:val="24"/>
        </w:rPr>
        <w:t>（1）投标人为企业的，应提交营业执照和组织机构代码证的复印件（按照“三证合一”或“五证合一”登记制度进行登记的，可仅提供营业执照复印件）；</w:t>
      </w:r>
    </w:p>
    <w:p>
      <w:pPr>
        <w:spacing w:line="360" w:lineRule="auto"/>
        <w:ind w:firstLine="480" w:firstLineChars="200"/>
        <w:rPr>
          <w:rFonts w:ascii="仿宋" w:hAnsi="仿宋" w:eastAsia="仿宋"/>
          <w:sz w:val="24"/>
        </w:rPr>
      </w:pPr>
      <w:r>
        <w:rPr>
          <w:rFonts w:hint="eastAsia" w:ascii="仿宋" w:hAnsi="仿宋" w:eastAsia="仿宋"/>
          <w:sz w:val="24"/>
        </w:rPr>
        <w:t>（2）投标人为依法允许经营的事业单位的，应提交事业单位法人证书和组织机构代码证的复印件。</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3.5.3“近年完成的类似项目情况表”应附中标通知书和（或）合同协议书、发票或收款凭证等证明材料，具体时间要求见投标人须知前附表。每张表格只填写一个项目，并标明序号。</w:t>
      </w:r>
    </w:p>
    <w:p>
      <w:pPr>
        <w:widowControl/>
        <w:spacing w:line="360" w:lineRule="auto"/>
        <w:ind w:firstLine="198" w:firstLineChars="82"/>
        <w:jc w:val="left"/>
        <w:outlineLvl w:val="2"/>
        <w:rPr>
          <w:rFonts w:ascii="仿宋" w:hAnsi="仿宋" w:eastAsia="仿宋" w:cs="楷体"/>
          <w:b/>
          <w:kern w:val="0"/>
          <w:sz w:val="24"/>
        </w:rPr>
      </w:pPr>
      <w:bookmarkStart w:id="166" w:name="_Toc60241465"/>
      <w:bookmarkStart w:id="167" w:name="_Toc19702"/>
      <w:bookmarkStart w:id="168" w:name="_Toc9961"/>
      <w:bookmarkStart w:id="169" w:name="_Toc12273"/>
      <w:bookmarkStart w:id="170" w:name="_Toc514751514"/>
      <w:bookmarkStart w:id="171" w:name="_Toc151390364"/>
      <w:r>
        <w:rPr>
          <w:rFonts w:ascii="仿宋" w:hAnsi="仿宋" w:eastAsia="仿宋" w:cs="楷体"/>
          <w:b/>
          <w:kern w:val="0"/>
          <w:sz w:val="24"/>
        </w:rPr>
        <w:t>2.</w:t>
      </w:r>
      <w:r>
        <w:rPr>
          <w:rFonts w:hint="eastAsia" w:ascii="仿宋" w:hAnsi="仿宋" w:eastAsia="仿宋" w:cs="楷体"/>
          <w:b/>
          <w:kern w:val="0"/>
          <w:sz w:val="24"/>
        </w:rPr>
        <w:t>3.6 备选投标方案</w:t>
      </w:r>
      <w:bookmarkEnd w:id="166"/>
      <w:bookmarkEnd w:id="167"/>
      <w:bookmarkEnd w:id="168"/>
      <w:bookmarkEnd w:id="169"/>
      <w:bookmarkEnd w:id="170"/>
      <w:bookmarkEnd w:id="171"/>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3.6.1投标人不得递交备选投标方案，否则其投标将被否决。</w:t>
      </w:r>
    </w:p>
    <w:p>
      <w:pPr>
        <w:widowControl/>
        <w:spacing w:line="360" w:lineRule="auto"/>
        <w:ind w:firstLine="198" w:firstLineChars="82"/>
        <w:jc w:val="left"/>
        <w:outlineLvl w:val="2"/>
        <w:rPr>
          <w:rFonts w:ascii="仿宋" w:hAnsi="仿宋" w:eastAsia="仿宋" w:cs="楷体"/>
          <w:b/>
          <w:kern w:val="0"/>
          <w:sz w:val="24"/>
        </w:rPr>
      </w:pPr>
      <w:bookmarkStart w:id="172" w:name="_Toc16303"/>
      <w:bookmarkStart w:id="173" w:name="_Toc3366"/>
      <w:bookmarkStart w:id="174" w:name="_Toc60241466"/>
      <w:bookmarkStart w:id="175" w:name="_Toc4792"/>
      <w:bookmarkStart w:id="176" w:name="_Toc514751515"/>
      <w:bookmarkStart w:id="177" w:name="_Toc151390365"/>
      <w:r>
        <w:rPr>
          <w:rFonts w:ascii="仿宋" w:hAnsi="仿宋" w:eastAsia="仿宋" w:cs="楷体"/>
          <w:b/>
          <w:kern w:val="0"/>
          <w:sz w:val="24"/>
        </w:rPr>
        <w:t>2.</w:t>
      </w:r>
      <w:r>
        <w:rPr>
          <w:rFonts w:hint="eastAsia" w:ascii="仿宋" w:hAnsi="仿宋" w:eastAsia="仿宋" w:cs="楷体"/>
          <w:b/>
          <w:kern w:val="0"/>
          <w:sz w:val="24"/>
        </w:rPr>
        <w:t>3.7 投标文件的编制</w:t>
      </w:r>
      <w:bookmarkEnd w:id="172"/>
      <w:bookmarkEnd w:id="173"/>
      <w:bookmarkEnd w:id="174"/>
      <w:bookmarkEnd w:id="175"/>
      <w:bookmarkEnd w:id="176"/>
      <w:bookmarkEnd w:id="177"/>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3.7.1投标文件应按第五章“投标文件格式及内容”要求进行编写。</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3.7.2投标文件应当对招标文件有关投标有效期、服务要求、招标范围等实质性内容作出响应。</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3.7.3投标文件采用纸质+电子文档，除投标人须知前附表另有规定外，投标文件所附证书证件均为原件扫描件，按招标文件要求在相应位置上加盖公司公章。由投标人的法定代表人（单位负责人）签字或加盖印章的，应附法定代表人（单位负责人）身份证明，由代理人签字或加盖印章的，应附由法定代表人（单位负责人）签署的授权委托书。签字或盖章的具体要求见投标人须知前附表。</w:t>
      </w:r>
    </w:p>
    <w:bookmarkEnd w:id="134"/>
    <w:bookmarkEnd w:id="135"/>
    <w:bookmarkEnd w:id="136"/>
    <w:p>
      <w:pPr>
        <w:widowControl/>
        <w:spacing w:before="120" w:after="60" w:line="360" w:lineRule="auto"/>
        <w:jc w:val="left"/>
        <w:outlineLvl w:val="1"/>
        <w:rPr>
          <w:rFonts w:ascii="仿宋" w:hAnsi="仿宋" w:eastAsia="仿宋" w:cs="楷体"/>
          <w:b/>
          <w:bCs/>
          <w:kern w:val="0"/>
          <w:sz w:val="28"/>
          <w:szCs w:val="28"/>
        </w:rPr>
      </w:pPr>
      <w:bookmarkStart w:id="178" w:name="_Toc27592"/>
      <w:bookmarkStart w:id="179" w:name="_Toc514751516"/>
      <w:bookmarkStart w:id="180" w:name="_Toc9870"/>
      <w:bookmarkStart w:id="181" w:name="_Toc60241467"/>
      <w:bookmarkStart w:id="182" w:name="_Toc20951"/>
      <w:bookmarkStart w:id="183" w:name="_Toc151390366"/>
      <w:r>
        <w:rPr>
          <w:rFonts w:ascii="仿宋" w:hAnsi="仿宋" w:eastAsia="仿宋" w:cs="楷体"/>
          <w:b/>
          <w:bCs/>
          <w:kern w:val="0"/>
          <w:sz w:val="28"/>
          <w:szCs w:val="28"/>
        </w:rPr>
        <w:t>2.</w:t>
      </w:r>
      <w:r>
        <w:rPr>
          <w:rFonts w:hint="eastAsia" w:ascii="仿宋" w:hAnsi="仿宋" w:eastAsia="仿宋" w:cs="楷体"/>
          <w:b/>
          <w:bCs/>
          <w:kern w:val="0"/>
          <w:sz w:val="28"/>
          <w:szCs w:val="28"/>
        </w:rPr>
        <w:t>4投标</w:t>
      </w:r>
      <w:bookmarkEnd w:id="178"/>
      <w:bookmarkEnd w:id="179"/>
      <w:bookmarkEnd w:id="180"/>
      <w:bookmarkEnd w:id="181"/>
      <w:bookmarkEnd w:id="182"/>
      <w:bookmarkEnd w:id="183"/>
    </w:p>
    <w:p>
      <w:pPr>
        <w:widowControl/>
        <w:spacing w:line="360" w:lineRule="auto"/>
        <w:ind w:firstLine="198" w:firstLineChars="82"/>
        <w:jc w:val="left"/>
        <w:outlineLvl w:val="2"/>
        <w:rPr>
          <w:rFonts w:ascii="仿宋" w:hAnsi="仿宋" w:eastAsia="仿宋" w:cs="楷体"/>
          <w:b/>
          <w:kern w:val="0"/>
          <w:sz w:val="24"/>
        </w:rPr>
      </w:pPr>
      <w:bookmarkStart w:id="184" w:name="_Toc11289"/>
      <w:bookmarkStart w:id="185" w:name="_Toc16360"/>
      <w:bookmarkStart w:id="186" w:name="_Toc2126"/>
      <w:bookmarkStart w:id="187" w:name="_Toc60241468"/>
      <w:bookmarkStart w:id="188" w:name="_Toc514751517"/>
      <w:bookmarkStart w:id="189" w:name="_Toc151390367"/>
      <w:r>
        <w:rPr>
          <w:rFonts w:ascii="仿宋" w:hAnsi="仿宋" w:eastAsia="仿宋" w:cs="楷体"/>
          <w:b/>
          <w:kern w:val="0"/>
          <w:sz w:val="24"/>
        </w:rPr>
        <w:t>2.</w:t>
      </w:r>
      <w:r>
        <w:rPr>
          <w:rFonts w:hint="eastAsia" w:ascii="仿宋" w:hAnsi="仿宋" w:eastAsia="仿宋" w:cs="楷体"/>
          <w:b/>
          <w:kern w:val="0"/>
          <w:sz w:val="24"/>
        </w:rPr>
        <w:t>4.1 投标文件的密封和标识</w:t>
      </w:r>
      <w:bookmarkEnd w:id="184"/>
      <w:bookmarkEnd w:id="185"/>
      <w:bookmarkEnd w:id="186"/>
      <w:bookmarkEnd w:id="187"/>
      <w:bookmarkEnd w:id="188"/>
      <w:bookmarkEnd w:id="189"/>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4.1.1投标人应当按照招标文件的要求封装投标文件，具体要求见投标人须知前附表。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4.1.2投标文件封套上应写的内容见投标人须知前附表。</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4.1.3未按本章第4.1.1项要求密封的投标文件，招标人将予以拒收。</w:t>
      </w:r>
    </w:p>
    <w:p>
      <w:pPr>
        <w:widowControl/>
        <w:spacing w:line="360" w:lineRule="auto"/>
        <w:ind w:firstLine="198" w:firstLineChars="82"/>
        <w:jc w:val="left"/>
        <w:outlineLvl w:val="2"/>
        <w:rPr>
          <w:rFonts w:ascii="仿宋" w:hAnsi="仿宋" w:eastAsia="仿宋" w:cs="楷体"/>
          <w:b/>
          <w:kern w:val="0"/>
          <w:sz w:val="24"/>
        </w:rPr>
      </w:pPr>
      <w:bookmarkStart w:id="190" w:name="_Toc3593"/>
      <w:bookmarkStart w:id="191" w:name="_Toc514751518"/>
      <w:bookmarkStart w:id="192" w:name="_Toc1030"/>
      <w:bookmarkStart w:id="193" w:name="_Toc3140"/>
      <w:bookmarkStart w:id="194" w:name="_Toc60241469"/>
      <w:bookmarkStart w:id="195" w:name="_Toc151390368"/>
      <w:r>
        <w:rPr>
          <w:rFonts w:ascii="仿宋" w:hAnsi="仿宋" w:eastAsia="仿宋" w:cs="楷体"/>
          <w:b/>
          <w:kern w:val="0"/>
          <w:sz w:val="24"/>
        </w:rPr>
        <w:t>2.</w:t>
      </w:r>
      <w:r>
        <w:rPr>
          <w:rFonts w:hint="eastAsia" w:ascii="仿宋" w:hAnsi="仿宋" w:eastAsia="仿宋" w:cs="楷体"/>
          <w:b/>
          <w:kern w:val="0"/>
          <w:sz w:val="24"/>
        </w:rPr>
        <w:t>4.2 投标文件的递交</w:t>
      </w:r>
      <w:bookmarkEnd w:id="190"/>
      <w:bookmarkEnd w:id="191"/>
      <w:bookmarkEnd w:id="192"/>
      <w:bookmarkEnd w:id="193"/>
      <w:bookmarkEnd w:id="194"/>
      <w:bookmarkEnd w:id="195"/>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4.2.1投标人应在投标人须知前附表规定的投标截止时间前递交投标文件。</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4.2.2投标人通过纸质投标文件及电子邮件递交投标文件。</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4.2.3除投标人须知前附表另有规定外，投标人所递交的投标文件不予退还。</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4.2.4逾期送达的或者未送达指定地点的投标文件，招标人不予受理。</w:t>
      </w:r>
    </w:p>
    <w:p>
      <w:pPr>
        <w:widowControl/>
        <w:spacing w:line="360" w:lineRule="auto"/>
        <w:ind w:firstLine="198" w:firstLineChars="82"/>
        <w:jc w:val="left"/>
        <w:outlineLvl w:val="2"/>
        <w:rPr>
          <w:rFonts w:ascii="仿宋" w:hAnsi="仿宋" w:eastAsia="仿宋" w:cs="楷体"/>
          <w:b/>
          <w:kern w:val="0"/>
          <w:sz w:val="24"/>
        </w:rPr>
      </w:pPr>
      <w:bookmarkStart w:id="196" w:name="_Toc2261"/>
      <w:bookmarkStart w:id="197" w:name="_Toc945"/>
      <w:bookmarkStart w:id="198" w:name="_Toc514751519"/>
      <w:bookmarkStart w:id="199" w:name="_Toc77"/>
      <w:bookmarkStart w:id="200" w:name="_Toc60241470"/>
      <w:bookmarkStart w:id="201" w:name="_Toc151390369"/>
      <w:r>
        <w:rPr>
          <w:rFonts w:ascii="仿宋" w:hAnsi="仿宋" w:eastAsia="仿宋" w:cs="楷体"/>
          <w:b/>
          <w:kern w:val="0"/>
          <w:sz w:val="24"/>
        </w:rPr>
        <w:t>2.</w:t>
      </w:r>
      <w:r>
        <w:rPr>
          <w:rFonts w:hint="eastAsia" w:ascii="仿宋" w:hAnsi="仿宋" w:eastAsia="仿宋" w:cs="楷体"/>
          <w:b/>
          <w:kern w:val="0"/>
          <w:sz w:val="24"/>
        </w:rPr>
        <w:t>4.3 投标文件的修改与撤回</w:t>
      </w:r>
      <w:bookmarkEnd w:id="196"/>
      <w:bookmarkEnd w:id="197"/>
      <w:bookmarkEnd w:id="198"/>
      <w:bookmarkEnd w:id="199"/>
      <w:bookmarkEnd w:id="200"/>
      <w:bookmarkEnd w:id="201"/>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4.3.1在投标截止时间前，投标人可以修改或撤回已递交的投标文件，但应以书面形式通知招标人。</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4.3.2投标人修改或撤回已递交投标文件的书面通知应按照本章第3.7节的要求签字或盖章。</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4.3.3修改的内容为投标文件的组成部分。修改的投标文件应按照本章第3条、第4条规定进行编制、密封、标记和递交，并标明“修改”字样。</w:t>
      </w:r>
    </w:p>
    <w:p>
      <w:pPr>
        <w:widowControl/>
        <w:spacing w:before="120" w:after="60" w:line="360" w:lineRule="auto"/>
        <w:jc w:val="left"/>
        <w:outlineLvl w:val="1"/>
        <w:rPr>
          <w:rFonts w:ascii="仿宋" w:hAnsi="仿宋" w:eastAsia="仿宋" w:cs="楷体"/>
          <w:b/>
          <w:bCs/>
          <w:kern w:val="0"/>
          <w:sz w:val="28"/>
          <w:szCs w:val="28"/>
        </w:rPr>
      </w:pPr>
      <w:bookmarkStart w:id="202" w:name="_Toc7765"/>
      <w:bookmarkStart w:id="203" w:name="_Toc29126"/>
      <w:bookmarkStart w:id="204" w:name="_Toc514751520"/>
      <w:bookmarkStart w:id="205" w:name="_Toc14377"/>
      <w:bookmarkStart w:id="206" w:name="_Toc60241471"/>
      <w:bookmarkStart w:id="207" w:name="_Toc151390370"/>
      <w:r>
        <w:rPr>
          <w:rFonts w:ascii="仿宋" w:hAnsi="仿宋" w:eastAsia="仿宋" w:cs="楷体"/>
          <w:b/>
          <w:bCs/>
          <w:kern w:val="0"/>
          <w:sz w:val="28"/>
          <w:szCs w:val="28"/>
        </w:rPr>
        <w:t>2.</w:t>
      </w:r>
      <w:r>
        <w:rPr>
          <w:rFonts w:hint="eastAsia" w:ascii="仿宋" w:hAnsi="仿宋" w:eastAsia="仿宋" w:cs="楷体"/>
          <w:b/>
          <w:bCs/>
          <w:kern w:val="0"/>
          <w:sz w:val="28"/>
          <w:szCs w:val="28"/>
        </w:rPr>
        <w:t>5开标</w:t>
      </w:r>
      <w:bookmarkEnd w:id="202"/>
      <w:bookmarkEnd w:id="203"/>
      <w:bookmarkEnd w:id="204"/>
      <w:bookmarkEnd w:id="205"/>
      <w:bookmarkEnd w:id="206"/>
      <w:bookmarkEnd w:id="207"/>
    </w:p>
    <w:p>
      <w:pPr>
        <w:widowControl/>
        <w:spacing w:line="360" w:lineRule="auto"/>
        <w:ind w:firstLine="198" w:firstLineChars="82"/>
        <w:jc w:val="left"/>
        <w:outlineLvl w:val="2"/>
        <w:rPr>
          <w:rFonts w:ascii="仿宋" w:hAnsi="仿宋" w:eastAsia="仿宋" w:cs="楷体"/>
          <w:b/>
          <w:kern w:val="0"/>
          <w:sz w:val="24"/>
        </w:rPr>
      </w:pPr>
      <w:bookmarkStart w:id="208" w:name="_Toc21909"/>
      <w:bookmarkStart w:id="209" w:name="_Toc60241472"/>
      <w:bookmarkStart w:id="210" w:name="_Toc29397"/>
      <w:bookmarkStart w:id="211" w:name="_Toc14902"/>
      <w:bookmarkStart w:id="212" w:name="_Toc151390371"/>
      <w:r>
        <w:rPr>
          <w:rFonts w:ascii="仿宋" w:hAnsi="仿宋" w:eastAsia="仿宋" w:cs="楷体"/>
          <w:b/>
          <w:kern w:val="0"/>
          <w:sz w:val="24"/>
        </w:rPr>
        <w:t xml:space="preserve">2.5.1 </w:t>
      </w:r>
      <w:r>
        <w:rPr>
          <w:rFonts w:hint="eastAsia" w:ascii="仿宋" w:hAnsi="仿宋" w:eastAsia="仿宋" w:cs="楷体"/>
          <w:b/>
          <w:kern w:val="0"/>
          <w:sz w:val="24"/>
        </w:rPr>
        <w:t>开标时间和地点</w:t>
      </w:r>
      <w:bookmarkEnd w:id="208"/>
      <w:bookmarkEnd w:id="209"/>
      <w:bookmarkEnd w:id="210"/>
      <w:bookmarkEnd w:id="211"/>
      <w:bookmarkEnd w:id="212"/>
    </w:p>
    <w:p>
      <w:pPr>
        <w:spacing w:line="360" w:lineRule="auto"/>
        <w:ind w:firstLine="480" w:firstLineChars="200"/>
        <w:rPr>
          <w:rFonts w:ascii="仿宋" w:hAnsi="仿宋" w:eastAsia="仿宋"/>
          <w:sz w:val="24"/>
        </w:rPr>
      </w:pPr>
      <w:r>
        <w:rPr>
          <w:rFonts w:hint="eastAsia" w:ascii="仿宋" w:hAnsi="仿宋" w:eastAsia="仿宋"/>
          <w:sz w:val="24"/>
        </w:rPr>
        <w:t>四川省成都市邛崃市天府新区半导体材料产业功能区羊横二路33号。</w:t>
      </w:r>
    </w:p>
    <w:p>
      <w:pPr>
        <w:spacing w:line="360" w:lineRule="auto"/>
        <w:ind w:firstLine="480" w:firstLineChars="200"/>
        <w:rPr>
          <w:rFonts w:ascii="仿宋" w:hAnsi="仿宋" w:eastAsia="仿宋"/>
          <w:sz w:val="24"/>
        </w:rPr>
      </w:pPr>
      <w:r>
        <w:rPr>
          <w:rFonts w:hint="eastAsia" w:ascii="仿宋" w:hAnsi="仿宋" w:eastAsia="仿宋"/>
          <w:sz w:val="24"/>
        </w:rPr>
        <w:t xml:space="preserve">2023年 </w:t>
      </w:r>
      <w:r>
        <w:rPr>
          <w:rFonts w:ascii="仿宋" w:hAnsi="仿宋" w:eastAsia="仿宋"/>
          <w:sz w:val="24"/>
        </w:rPr>
        <w:t>12</w:t>
      </w:r>
      <w:r>
        <w:rPr>
          <w:rFonts w:hint="eastAsia" w:ascii="仿宋" w:hAnsi="仿宋" w:eastAsia="仿宋"/>
          <w:sz w:val="24"/>
        </w:rPr>
        <w:t xml:space="preserve"> 月 </w:t>
      </w:r>
      <w:r>
        <w:rPr>
          <w:rFonts w:ascii="仿宋" w:hAnsi="仿宋" w:eastAsia="仿宋"/>
          <w:sz w:val="24"/>
        </w:rPr>
        <w:t>4</w:t>
      </w:r>
      <w:r>
        <w:rPr>
          <w:rFonts w:hint="eastAsia" w:ascii="仿宋" w:hAnsi="仿宋" w:eastAsia="仿宋"/>
          <w:sz w:val="24"/>
        </w:rPr>
        <w:t>日1</w:t>
      </w:r>
      <w:r>
        <w:rPr>
          <w:rFonts w:ascii="仿宋" w:hAnsi="仿宋" w:eastAsia="仿宋"/>
          <w:sz w:val="24"/>
        </w:rPr>
        <w:t>0</w:t>
      </w:r>
      <w:r>
        <w:rPr>
          <w:rFonts w:hint="eastAsia" w:ascii="仿宋" w:hAnsi="仿宋" w:eastAsia="仿宋"/>
          <w:sz w:val="24"/>
        </w:rPr>
        <w:t>：00。</w:t>
      </w:r>
    </w:p>
    <w:p>
      <w:pPr>
        <w:widowControl/>
        <w:spacing w:line="360" w:lineRule="auto"/>
        <w:ind w:firstLine="198" w:firstLineChars="82"/>
        <w:jc w:val="left"/>
        <w:outlineLvl w:val="2"/>
        <w:rPr>
          <w:rFonts w:ascii="仿宋" w:hAnsi="仿宋" w:eastAsia="仿宋" w:cs="楷体"/>
          <w:b/>
          <w:kern w:val="0"/>
          <w:sz w:val="24"/>
        </w:rPr>
      </w:pPr>
      <w:bookmarkStart w:id="213" w:name="_Toc30123"/>
      <w:bookmarkStart w:id="214" w:name="_Toc23192"/>
      <w:bookmarkStart w:id="215" w:name="_Toc60241473"/>
      <w:bookmarkStart w:id="216" w:name="_Toc514751523"/>
      <w:bookmarkStart w:id="217" w:name="_Toc18331"/>
      <w:bookmarkStart w:id="218" w:name="_Toc151390372"/>
      <w:r>
        <w:rPr>
          <w:rFonts w:ascii="仿宋" w:hAnsi="仿宋" w:eastAsia="仿宋" w:cs="楷体"/>
          <w:b/>
          <w:kern w:val="0"/>
          <w:sz w:val="24"/>
        </w:rPr>
        <w:t>2.</w:t>
      </w:r>
      <w:r>
        <w:rPr>
          <w:rFonts w:hint="eastAsia" w:ascii="仿宋" w:hAnsi="仿宋" w:eastAsia="仿宋" w:cs="楷体"/>
          <w:b/>
          <w:kern w:val="0"/>
          <w:sz w:val="24"/>
        </w:rPr>
        <w:t>5.2 开标程序</w:t>
      </w:r>
      <w:bookmarkEnd w:id="213"/>
      <w:bookmarkEnd w:id="214"/>
      <w:bookmarkEnd w:id="215"/>
      <w:bookmarkEnd w:id="216"/>
      <w:bookmarkEnd w:id="217"/>
      <w:bookmarkEnd w:id="218"/>
    </w:p>
    <w:p>
      <w:pPr>
        <w:spacing w:line="360" w:lineRule="auto"/>
        <w:rPr>
          <w:rFonts w:ascii="仿宋" w:hAnsi="仿宋" w:eastAsia="仿宋"/>
          <w:sz w:val="24"/>
        </w:rPr>
      </w:pPr>
      <w:r>
        <w:rPr>
          <w:rFonts w:hint="eastAsia" w:ascii="仿宋" w:hAnsi="仿宋" w:eastAsia="仿宋"/>
          <w:sz w:val="24"/>
        </w:rPr>
        <w:t>主持人按下列程序进行开标：</w:t>
      </w:r>
    </w:p>
    <w:p>
      <w:pPr>
        <w:spacing w:line="360" w:lineRule="auto"/>
        <w:ind w:firstLine="480" w:firstLineChars="200"/>
        <w:rPr>
          <w:rFonts w:ascii="仿宋" w:hAnsi="仿宋" w:eastAsia="仿宋"/>
          <w:sz w:val="24"/>
        </w:rPr>
      </w:pPr>
      <w:r>
        <w:rPr>
          <w:rFonts w:hint="eastAsia" w:ascii="仿宋" w:hAnsi="仿宋" w:eastAsia="仿宋"/>
          <w:sz w:val="24"/>
        </w:rPr>
        <w:t>（1）宣布投标文件递交截止时间已到，开标会开始。</w:t>
      </w:r>
    </w:p>
    <w:p>
      <w:pPr>
        <w:spacing w:line="360" w:lineRule="auto"/>
        <w:ind w:firstLine="480" w:firstLineChars="200"/>
        <w:rPr>
          <w:rFonts w:ascii="仿宋" w:hAnsi="仿宋" w:eastAsia="仿宋"/>
          <w:sz w:val="24"/>
        </w:rPr>
      </w:pPr>
      <w:r>
        <w:rPr>
          <w:rFonts w:hint="eastAsia" w:ascii="仿宋" w:hAnsi="仿宋" w:eastAsia="仿宋"/>
          <w:sz w:val="24"/>
        </w:rPr>
        <w:t>（2）介绍到会领导和招标人代表；介绍本次招标监督部门及监督人员职务、姓名；</w:t>
      </w:r>
    </w:p>
    <w:p>
      <w:pPr>
        <w:spacing w:line="360" w:lineRule="auto"/>
        <w:ind w:firstLine="480" w:firstLineChars="200"/>
        <w:rPr>
          <w:rFonts w:ascii="仿宋" w:hAnsi="仿宋" w:eastAsia="仿宋"/>
          <w:sz w:val="24"/>
        </w:rPr>
      </w:pPr>
      <w:r>
        <w:rPr>
          <w:rFonts w:hint="eastAsia" w:ascii="仿宋" w:hAnsi="仿宋" w:eastAsia="仿宋"/>
          <w:sz w:val="24"/>
        </w:rPr>
        <w:t>（3）介绍招标分标情况和参加投标的单位情况；</w:t>
      </w:r>
    </w:p>
    <w:p>
      <w:pPr>
        <w:spacing w:line="360" w:lineRule="auto"/>
        <w:ind w:firstLine="480" w:firstLineChars="200"/>
        <w:rPr>
          <w:rFonts w:ascii="仿宋" w:hAnsi="仿宋" w:eastAsia="仿宋"/>
          <w:sz w:val="24"/>
        </w:rPr>
      </w:pPr>
      <w:r>
        <w:rPr>
          <w:rFonts w:hint="eastAsia" w:ascii="仿宋" w:hAnsi="仿宋" w:eastAsia="仿宋"/>
          <w:sz w:val="24"/>
        </w:rPr>
        <w:t>（4）招标人代表讲话；</w:t>
      </w:r>
    </w:p>
    <w:p>
      <w:pPr>
        <w:spacing w:line="360" w:lineRule="auto"/>
        <w:ind w:firstLine="480" w:firstLineChars="200"/>
        <w:rPr>
          <w:rFonts w:ascii="仿宋" w:hAnsi="仿宋" w:eastAsia="仿宋"/>
          <w:sz w:val="24"/>
        </w:rPr>
      </w:pPr>
      <w:r>
        <w:rPr>
          <w:rFonts w:hint="eastAsia" w:ascii="仿宋" w:hAnsi="仿宋" w:eastAsia="仿宋"/>
          <w:sz w:val="24"/>
        </w:rPr>
        <w:t>（5）监督人员（或主持人）宣读招标工作纪律；</w:t>
      </w:r>
    </w:p>
    <w:p>
      <w:pPr>
        <w:spacing w:line="360" w:lineRule="auto"/>
        <w:ind w:firstLine="480" w:firstLineChars="200"/>
        <w:rPr>
          <w:rFonts w:ascii="仿宋" w:hAnsi="仿宋" w:eastAsia="仿宋"/>
          <w:sz w:val="24"/>
        </w:rPr>
      </w:pPr>
      <w:r>
        <w:rPr>
          <w:rFonts w:hint="eastAsia" w:ascii="仿宋" w:hAnsi="仿宋" w:eastAsia="仿宋"/>
          <w:sz w:val="24"/>
        </w:rPr>
        <w:t>（6）主持开标：</w:t>
      </w:r>
    </w:p>
    <w:p>
      <w:pPr>
        <w:spacing w:line="360" w:lineRule="auto"/>
        <w:ind w:firstLine="480" w:firstLineChars="200"/>
        <w:rPr>
          <w:rFonts w:ascii="仿宋" w:hAnsi="仿宋" w:eastAsia="仿宋"/>
          <w:sz w:val="24"/>
        </w:rPr>
      </w:pPr>
      <w:r>
        <w:rPr>
          <w:rFonts w:hint="eastAsia" w:ascii="仿宋" w:hAnsi="仿宋" w:eastAsia="仿宋" w:cs="仿宋"/>
          <w:sz w:val="24"/>
        </w:rPr>
        <w:t>①</w:t>
      </w:r>
      <w:r>
        <w:rPr>
          <w:rFonts w:hint="eastAsia" w:ascii="仿宋" w:hAnsi="仿宋" w:eastAsia="仿宋"/>
          <w:sz w:val="24"/>
        </w:rPr>
        <w:t>检查投标人递交的投标文件密封是否完好，公布招标项目名称、投标人名称、投标保证金的递交情况、投标报价及其他内容，并记录在案。</w:t>
      </w:r>
    </w:p>
    <w:p>
      <w:pPr>
        <w:spacing w:line="360" w:lineRule="auto"/>
        <w:ind w:firstLine="480" w:firstLineChars="200"/>
        <w:rPr>
          <w:rFonts w:ascii="仿宋" w:hAnsi="仿宋" w:eastAsia="仿宋"/>
          <w:sz w:val="24"/>
        </w:rPr>
      </w:pPr>
      <w:r>
        <w:rPr>
          <w:rFonts w:hint="eastAsia" w:ascii="仿宋" w:hAnsi="仿宋" w:eastAsia="仿宋" w:cs="仿宋"/>
          <w:sz w:val="24"/>
        </w:rPr>
        <w:t>②</w:t>
      </w:r>
      <w:r>
        <w:rPr>
          <w:rFonts w:hint="eastAsia" w:ascii="仿宋" w:hAnsi="仿宋" w:eastAsia="仿宋"/>
          <w:sz w:val="24"/>
        </w:rPr>
        <w:t>投标人代表（如有）、招标人代表、监标人、记录人等有关人员在开标记录上签字确认。</w:t>
      </w:r>
    </w:p>
    <w:p>
      <w:pPr>
        <w:spacing w:line="360" w:lineRule="auto"/>
        <w:ind w:firstLine="480" w:firstLineChars="200"/>
        <w:rPr>
          <w:rFonts w:ascii="仿宋" w:hAnsi="仿宋" w:eastAsia="仿宋"/>
          <w:sz w:val="24"/>
        </w:rPr>
      </w:pPr>
      <w:r>
        <w:rPr>
          <w:rFonts w:hint="eastAsia" w:ascii="仿宋" w:hAnsi="仿宋" w:eastAsia="仿宋"/>
          <w:sz w:val="24"/>
        </w:rPr>
        <w:t>（7）主持人宣布开标会议结束。</w:t>
      </w:r>
    </w:p>
    <w:p>
      <w:pPr>
        <w:widowControl/>
        <w:spacing w:before="120" w:after="60" w:line="360" w:lineRule="auto"/>
        <w:jc w:val="left"/>
        <w:outlineLvl w:val="1"/>
        <w:rPr>
          <w:rFonts w:ascii="仿宋" w:hAnsi="仿宋" w:eastAsia="仿宋" w:cs="楷体"/>
          <w:b/>
          <w:bCs/>
          <w:kern w:val="0"/>
          <w:sz w:val="28"/>
          <w:szCs w:val="28"/>
        </w:rPr>
      </w:pPr>
      <w:bookmarkStart w:id="219" w:name="_Toc60241474"/>
      <w:bookmarkStart w:id="220" w:name="_Toc514751524"/>
      <w:bookmarkStart w:id="221" w:name="_Toc22569"/>
      <w:bookmarkStart w:id="222" w:name="_Toc7773"/>
      <w:bookmarkStart w:id="223" w:name="_Toc31370"/>
      <w:bookmarkStart w:id="224" w:name="_Toc151390373"/>
      <w:r>
        <w:rPr>
          <w:rFonts w:ascii="仿宋" w:hAnsi="仿宋" w:eastAsia="仿宋" w:cs="楷体"/>
          <w:b/>
          <w:bCs/>
          <w:kern w:val="0"/>
          <w:sz w:val="28"/>
          <w:szCs w:val="28"/>
        </w:rPr>
        <w:t>2.</w:t>
      </w:r>
      <w:r>
        <w:rPr>
          <w:rFonts w:hint="eastAsia" w:ascii="仿宋" w:hAnsi="仿宋" w:eastAsia="仿宋" w:cs="楷体"/>
          <w:b/>
          <w:bCs/>
          <w:kern w:val="0"/>
          <w:sz w:val="28"/>
          <w:szCs w:val="28"/>
        </w:rPr>
        <w:t>6评标</w:t>
      </w:r>
      <w:bookmarkEnd w:id="219"/>
      <w:bookmarkEnd w:id="220"/>
      <w:bookmarkEnd w:id="221"/>
      <w:bookmarkEnd w:id="222"/>
      <w:bookmarkEnd w:id="223"/>
      <w:bookmarkEnd w:id="224"/>
    </w:p>
    <w:p>
      <w:pPr>
        <w:widowControl/>
        <w:spacing w:line="360" w:lineRule="auto"/>
        <w:ind w:firstLine="198" w:firstLineChars="82"/>
        <w:jc w:val="left"/>
        <w:outlineLvl w:val="2"/>
        <w:rPr>
          <w:rFonts w:ascii="仿宋" w:hAnsi="仿宋" w:eastAsia="仿宋" w:cs="楷体"/>
          <w:b/>
          <w:kern w:val="0"/>
          <w:sz w:val="24"/>
        </w:rPr>
      </w:pPr>
      <w:bookmarkStart w:id="225" w:name="_Toc60241475"/>
      <w:bookmarkStart w:id="226" w:name="_Toc9202"/>
      <w:bookmarkStart w:id="227" w:name="_Toc10169"/>
      <w:bookmarkStart w:id="228" w:name="_Toc25177"/>
      <w:bookmarkStart w:id="229" w:name="_Toc514751525"/>
      <w:bookmarkStart w:id="230" w:name="_Toc151390374"/>
      <w:r>
        <w:rPr>
          <w:rFonts w:ascii="仿宋" w:hAnsi="仿宋" w:eastAsia="仿宋" w:cs="楷体"/>
          <w:b/>
          <w:kern w:val="0"/>
          <w:sz w:val="24"/>
        </w:rPr>
        <w:t>2.</w:t>
      </w:r>
      <w:r>
        <w:rPr>
          <w:rFonts w:hint="eastAsia" w:ascii="仿宋" w:hAnsi="仿宋" w:eastAsia="仿宋" w:cs="楷体"/>
          <w:b/>
          <w:kern w:val="0"/>
          <w:sz w:val="24"/>
        </w:rPr>
        <w:t>6.1 评标委员会</w:t>
      </w:r>
      <w:bookmarkEnd w:id="225"/>
      <w:bookmarkEnd w:id="226"/>
      <w:bookmarkEnd w:id="227"/>
      <w:bookmarkEnd w:id="228"/>
      <w:bookmarkEnd w:id="229"/>
      <w:bookmarkEnd w:id="230"/>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6.1.1评标由招标人依法组建的评标委员会负责。评标委员会由招标人熟悉相关业务的代表，以及有关技术、经济等方面的专家组成，评标委员会成员人数为5人及以上单数。</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6.1.2评标委员会成员有下列情形之一的，应当回避：</w:t>
      </w:r>
    </w:p>
    <w:p>
      <w:pPr>
        <w:spacing w:line="360" w:lineRule="auto"/>
        <w:ind w:firstLine="480" w:firstLineChars="200"/>
        <w:rPr>
          <w:rFonts w:ascii="仿宋" w:hAnsi="仿宋" w:eastAsia="仿宋"/>
          <w:sz w:val="24"/>
        </w:rPr>
      </w:pPr>
      <w:r>
        <w:rPr>
          <w:rFonts w:hint="eastAsia" w:ascii="仿宋" w:hAnsi="仿宋" w:eastAsia="仿宋"/>
          <w:sz w:val="24"/>
        </w:rPr>
        <w:t>（1）投标人或投标人主要负责人的近亲属；</w:t>
      </w:r>
    </w:p>
    <w:p>
      <w:pPr>
        <w:spacing w:line="360" w:lineRule="auto"/>
        <w:ind w:firstLine="480" w:firstLineChars="200"/>
        <w:rPr>
          <w:rFonts w:ascii="仿宋" w:hAnsi="仿宋" w:eastAsia="仿宋"/>
          <w:sz w:val="24"/>
        </w:rPr>
      </w:pPr>
      <w:r>
        <w:rPr>
          <w:rFonts w:hint="eastAsia" w:ascii="仿宋" w:hAnsi="仿宋" w:eastAsia="仿宋"/>
          <w:sz w:val="24"/>
        </w:rPr>
        <w:t>（2）项目主管部门或者行政监督部门的人员；</w:t>
      </w:r>
    </w:p>
    <w:p>
      <w:pPr>
        <w:spacing w:line="360" w:lineRule="auto"/>
        <w:ind w:firstLine="480" w:firstLineChars="200"/>
        <w:rPr>
          <w:rFonts w:ascii="仿宋" w:hAnsi="仿宋" w:eastAsia="仿宋"/>
          <w:sz w:val="24"/>
        </w:rPr>
      </w:pPr>
      <w:r>
        <w:rPr>
          <w:rFonts w:hint="eastAsia" w:ascii="仿宋" w:hAnsi="仿宋" w:eastAsia="仿宋"/>
          <w:sz w:val="24"/>
        </w:rPr>
        <w:t>（3）与投标人有经济利益关系，可能影响对投标公正评审的；</w:t>
      </w:r>
    </w:p>
    <w:p>
      <w:pPr>
        <w:spacing w:line="360" w:lineRule="auto"/>
        <w:ind w:firstLine="480" w:firstLineChars="200"/>
        <w:rPr>
          <w:rFonts w:ascii="仿宋" w:hAnsi="仿宋" w:eastAsia="仿宋"/>
          <w:sz w:val="24"/>
        </w:rPr>
      </w:pPr>
      <w:r>
        <w:rPr>
          <w:rFonts w:hint="eastAsia" w:ascii="仿宋" w:hAnsi="仿宋" w:eastAsia="仿宋"/>
          <w:sz w:val="24"/>
        </w:rPr>
        <w:t>（4）曾因在招标、评标以及其他与招标投标有关活动中从事违法行为而受过行政处罚或刑事处罚的；</w:t>
      </w:r>
    </w:p>
    <w:p>
      <w:pPr>
        <w:spacing w:line="360" w:lineRule="auto"/>
        <w:ind w:firstLine="480" w:firstLineChars="200"/>
        <w:rPr>
          <w:rFonts w:ascii="仿宋" w:hAnsi="仿宋" w:eastAsia="仿宋"/>
          <w:sz w:val="24"/>
        </w:rPr>
      </w:pPr>
      <w:r>
        <w:rPr>
          <w:rFonts w:hint="eastAsia" w:ascii="仿宋" w:hAnsi="仿宋" w:eastAsia="仿宋"/>
          <w:sz w:val="24"/>
        </w:rPr>
        <w:t>（5）与投标人有其他利害关系。</w:t>
      </w:r>
    </w:p>
    <w:p>
      <w:pPr>
        <w:widowControl/>
        <w:spacing w:line="360" w:lineRule="auto"/>
        <w:ind w:firstLine="198" w:firstLineChars="82"/>
        <w:jc w:val="left"/>
        <w:outlineLvl w:val="2"/>
        <w:rPr>
          <w:rFonts w:ascii="仿宋" w:hAnsi="仿宋" w:eastAsia="仿宋" w:cs="楷体"/>
          <w:b/>
          <w:kern w:val="0"/>
          <w:sz w:val="24"/>
        </w:rPr>
      </w:pPr>
      <w:bookmarkStart w:id="231" w:name="_Toc27447"/>
      <w:bookmarkStart w:id="232" w:name="_Toc8597"/>
      <w:bookmarkStart w:id="233" w:name="_Toc514751526"/>
      <w:bookmarkStart w:id="234" w:name="_Toc60241476"/>
      <w:bookmarkStart w:id="235" w:name="_Toc5840"/>
      <w:bookmarkStart w:id="236" w:name="_Toc151390375"/>
      <w:r>
        <w:rPr>
          <w:rFonts w:ascii="仿宋" w:hAnsi="仿宋" w:eastAsia="仿宋" w:cs="楷体"/>
          <w:b/>
          <w:kern w:val="0"/>
          <w:sz w:val="24"/>
        </w:rPr>
        <w:t>2.</w:t>
      </w:r>
      <w:r>
        <w:rPr>
          <w:rFonts w:hint="eastAsia" w:ascii="仿宋" w:hAnsi="仿宋" w:eastAsia="仿宋" w:cs="楷体"/>
          <w:b/>
          <w:kern w:val="0"/>
          <w:sz w:val="24"/>
        </w:rPr>
        <w:t>6.2 评标原则</w:t>
      </w:r>
      <w:bookmarkEnd w:id="231"/>
      <w:bookmarkEnd w:id="232"/>
      <w:bookmarkEnd w:id="233"/>
      <w:bookmarkEnd w:id="234"/>
      <w:bookmarkEnd w:id="235"/>
      <w:bookmarkEnd w:id="236"/>
    </w:p>
    <w:p>
      <w:pPr>
        <w:spacing w:line="360" w:lineRule="auto"/>
        <w:ind w:firstLine="480" w:firstLineChars="200"/>
        <w:rPr>
          <w:rFonts w:ascii="仿宋" w:hAnsi="仿宋" w:eastAsia="仿宋"/>
          <w:sz w:val="24"/>
        </w:rPr>
      </w:pPr>
      <w:r>
        <w:rPr>
          <w:rFonts w:hint="eastAsia" w:ascii="仿宋" w:hAnsi="仿宋" w:eastAsia="仿宋"/>
          <w:sz w:val="24"/>
        </w:rPr>
        <w:t>评标活动遵循公平、公正、科学和择优的原则。</w:t>
      </w:r>
    </w:p>
    <w:p>
      <w:pPr>
        <w:widowControl/>
        <w:spacing w:line="360" w:lineRule="auto"/>
        <w:ind w:firstLine="198" w:firstLineChars="82"/>
        <w:jc w:val="left"/>
        <w:outlineLvl w:val="2"/>
        <w:rPr>
          <w:rFonts w:ascii="仿宋" w:hAnsi="仿宋" w:eastAsia="仿宋" w:cs="楷体"/>
          <w:b/>
          <w:kern w:val="0"/>
          <w:sz w:val="24"/>
        </w:rPr>
      </w:pPr>
      <w:bookmarkStart w:id="237" w:name="_Toc14776"/>
      <w:bookmarkStart w:id="238" w:name="_Toc1105"/>
      <w:bookmarkStart w:id="239" w:name="_Toc60241477"/>
      <w:bookmarkStart w:id="240" w:name="_Toc514751527"/>
      <w:bookmarkStart w:id="241" w:name="_Toc11591"/>
      <w:bookmarkStart w:id="242" w:name="_Toc151390376"/>
      <w:r>
        <w:rPr>
          <w:rFonts w:ascii="仿宋" w:hAnsi="仿宋" w:eastAsia="仿宋" w:cs="楷体"/>
          <w:b/>
          <w:kern w:val="0"/>
          <w:sz w:val="24"/>
        </w:rPr>
        <w:t>2.</w:t>
      </w:r>
      <w:r>
        <w:rPr>
          <w:rFonts w:hint="eastAsia" w:ascii="仿宋" w:hAnsi="仿宋" w:eastAsia="仿宋" w:cs="楷体"/>
          <w:b/>
          <w:kern w:val="0"/>
          <w:sz w:val="24"/>
        </w:rPr>
        <w:t>6.3 评标方法</w:t>
      </w:r>
      <w:bookmarkEnd w:id="237"/>
      <w:bookmarkEnd w:id="238"/>
      <w:bookmarkEnd w:id="239"/>
      <w:bookmarkEnd w:id="240"/>
      <w:bookmarkEnd w:id="241"/>
      <w:bookmarkEnd w:id="242"/>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6.3.2评标完成后，评标委员会应当向招标人提交书面评标报告和中标候选人名单。评标委员会推荐中标候选人的人数见投标人须知前附表。</w:t>
      </w:r>
    </w:p>
    <w:p>
      <w:pPr>
        <w:spacing w:line="360" w:lineRule="auto"/>
        <w:ind w:firstLine="480" w:firstLineChars="200"/>
        <w:rPr>
          <w:rFonts w:ascii="仿宋_GB2312" w:hAnsi="仿宋" w:eastAsia="仿宋_GB2312"/>
          <w:sz w:val="24"/>
        </w:rPr>
      </w:pPr>
      <w:r>
        <w:rPr>
          <w:rFonts w:ascii="仿宋" w:hAnsi="仿宋" w:eastAsia="仿宋"/>
          <w:sz w:val="24"/>
        </w:rPr>
        <w:t>2.</w:t>
      </w:r>
      <w:r>
        <w:rPr>
          <w:rFonts w:hint="eastAsia" w:ascii="仿宋" w:hAnsi="仿宋" w:eastAsia="仿宋"/>
          <w:sz w:val="24"/>
        </w:rPr>
        <w:t>6.3.</w:t>
      </w:r>
      <w:r>
        <w:rPr>
          <w:rFonts w:ascii="仿宋" w:hAnsi="仿宋" w:eastAsia="仿宋"/>
          <w:sz w:val="24"/>
        </w:rPr>
        <w:t>3中标候选人具体份额见</w:t>
      </w:r>
      <w:r>
        <w:rPr>
          <w:rFonts w:hint="eastAsia" w:ascii="仿宋" w:hAnsi="仿宋" w:eastAsia="仿宋"/>
          <w:sz w:val="24"/>
        </w:rPr>
        <w:t>投标人须知前附表。</w:t>
      </w:r>
      <w:r>
        <w:rPr>
          <w:rFonts w:ascii="仿宋" w:hAnsi="仿宋" w:eastAsia="仿宋"/>
          <w:sz w:val="24"/>
        </w:rPr>
        <w:t>中标候选人如有弃标的，招标方根</w:t>
      </w:r>
      <w:r>
        <w:rPr>
          <w:rFonts w:ascii="仿宋_GB2312" w:hAnsi="仿宋" w:eastAsia="仿宋_GB2312"/>
          <w:sz w:val="24"/>
        </w:rPr>
        <w:t>据评标结果顺位排序向新任中标候选人发出书面中标邀请，并有权要求新任中标候选人按招标方提供价格认价。</w:t>
      </w:r>
    </w:p>
    <w:p>
      <w:pPr>
        <w:widowControl/>
        <w:spacing w:before="120" w:after="60" w:line="360" w:lineRule="auto"/>
        <w:jc w:val="left"/>
        <w:outlineLvl w:val="1"/>
        <w:rPr>
          <w:rFonts w:ascii="仿宋" w:hAnsi="仿宋" w:eastAsia="仿宋" w:cs="楷体"/>
          <w:b/>
          <w:bCs/>
          <w:kern w:val="0"/>
          <w:sz w:val="28"/>
          <w:szCs w:val="28"/>
        </w:rPr>
      </w:pPr>
      <w:bookmarkStart w:id="243" w:name="_Toc18844"/>
      <w:bookmarkStart w:id="244" w:name="_Toc56"/>
      <w:bookmarkStart w:id="245" w:name="_Toc1917"/>
      <w:bookmarkStart w:id="246" w:name="_Toc60241478"/>
      <w:bookmarkStart w:id="247" w:name="_Toc514751528"/>
      <w:bookmarkStart w:id="248" w:name="_Toc151390377"/>
      <w:r>
        <w:rPr>
          <w:rFonts w:ascii="仿宋" w:hAnsi="仿宋" w:eastAsia="仿宋" w:cs="楷体"/>
          <w:b/>
          <w:bCs/>
          <w:kern w:val="0"/>
          <w:sz w:val="28"/>
          <w:szCs w:val="28"/>
        </w:rPr>
        <w:t>2.</w:t>
      </w:r>
      <w:r>
        <w:rPr>
          <w:rFonts w:hint="eastAsia" w:ascii="仿宋" w:hAnsi="仿宋" w:eastAsia="仿宋" w:cs="楷体"/>
          <w:b/>
          <w:bCs/>
          <w:kern w:val="0"/>
          <w:sz w:val="28"/>
          <w:szCs w:val="28"/>
        </w:rPr>
        <w:t>7合同授予</w:t>
      </w:r>
      <w:bookmarkEnd w:id="243"/>
      <w:bookmarkEnd w:id="244"/>
      <w:bookmarkEnd w:id="245"/>
      <w:bookmarkEnd w:id="246"/>
      <w:bookmarkEnd w:id="247"/>
      <w:bookmarkEnd w:id="248"/>
    </w:p>
    <w:p>
      <w:pPr>
        <w:widowControl/>
        <w:spacing w:line="360" w:lineRule="auto"/>
        <w:ind w:firstLine="198" w:firstLineChars="82"/>
        <w:jc w:val="left"/>
        <w:outlineLvl w:val="2"/>
        <w:rPr>
          <w:rFonts w:ascii="仿宋" w:hAnsi="仿宋" w:eastAsia="仿宋" w:cs="楷体"/>
          <w:b/>
          <w:kern w:val="0"/>
          <w:sz w:val="24"/>
        </w:rPr>
      </w:pPr>
      <w:bookmarkStart w:id="249" w:name="_Toc60241479"/>
      <w:bookmarkStart w:id="250" w:name="_Toc8467"/>
      <w:bookmarkStart w:id="251" w:name="_Toc13434"/>
      <w:bookmarkStart w:id="252" w:name="_Toc11964"/>
      <w:bookmarkStart w:id="253" w:name="_Toc514751529"/>
      <w:bookmarkStart w:id="254" w:name="_Toc151390378"/>
      <w:r>
        <w:rPr>
          <w:rFonts w:ascii="仿宋" w:hAnsi="仿宋" w:eastAsia="仿宋" w:cs="楷体"/>
          <w:b/>
          <w:kern w:val="0"/>
          <w:sz w:val="24"/>
        </w:rPr>
        <w:t>2.</w:t>
      </w:r>
      <w:r>
        <w:rPr>
          <w:rFonts w:hint="eastAsia" w:ascii="仿宋" w:hAnsi="仿宋" w:eastAsia="仿宋" w:cs="楷体"/>
          <w:b/>
          <w:kern w:val="0"/>
          <w:sz w:val="24"/>
        </w:rPr>
        <w:t>7.1行贿犯罪查询</w:t>
      </w:r>
      <w:bookmarkEnd w:id="249"/>
      <w:bookmarkEnd w:id="250"/>
      <w:bookmarkEnd w:id="251"/>
      <w:bookmarkEnd w:id="252"/>
      <w:bookmarkEnd w:id="253"/>
      <w:bookmarkEnd w:id="254"/>
    </w:p>
    <w:p>
      <w:pPr>
        <w:spacing w:line="360" w:lineRule="auto"/>
        <w:ind w:firstLine="480" w:firstLineChars="200"/>
        <w:rPr>
          <w:rFonts w:ascii="仿宋" w:hAnsi="仿宋" w:eastAsia="仿宋"/>
          <w:sz w:val="24"/>
        </w:rPr>
      </w:pPr>
      <w:r>
        <w:rPr>
          <w:rFonts w:hint="eastAsia" w:ascii="仿宋" w:hAnsi="仿宋" w:eastAsia="仿宋"/>
          <w:sz w:val="24"/>
        </w:rPr>
        <w:t>投标人自行在中国裁判文书网（http://wenshu.court.gov.cn/）上查询，并提供查询结果，若在近年内有行贿犯罪记录的取消其中标资格，具体年限及适用范围见投标人须知前附表。</w:t>
      </w:r>
    </w:p>
    <w:p>
      <w:pPr>
        <w:widowControl/>
        <w:spacing w:line="360" w:lineRule="auto"/>
        <w:ind w:firstLine="198" w:firstLineChars="82"/>
        <w:jc w:val="left"/>
        <w:outlineLvl w:val="2"/>
        <w:rPr>
          <w:rFonts w:ascii="仿宋" w:hAnsi="仿宋" w:eastAsia="仿宋" w:cs="楷体"/>
          <w:b/>
          <w:kern w:val="0"/>
          <w:sz w:val="24"/>
        </w:rPr>
      </w:pPr>
      <w:bookmarkStart w:id="255" w:name="_Toc514751530"/>
      <w:bookmarkStart w:id="256" w:name="_Toc60241480"/>
      <w:bookmarkStart w:id="257" w:name="_Toc10214"/>
      <w:bookmarkStart w:id="258" w:name="_Toc572"/>
      <w:bookmarkStart w:id="259" w:name="_Toc32081"/>
      <w:bookmarkStart w:id="260" w:name="_Toc151390379"/>
      <w:r>
        <w:rPr>
          <w:rFonts w:ascii="仿宋" w:hAnsi="仿宋" w:eastAsia="仿宋" w:cs="楷体"/>
          <w:b/>
          <w:kern w:val="0"/>
          <w:sz w:val="24"/>
        </w:rPr>
        <w:t>2.</w:t>
      </w:r>
      <w:r>
        <w:rPr>
          <w:rFonts w:hint="eastAsia" w:ascii="仿宋" w:hAnsi="仿宋" w:eastAsia="仿宋" w:cs="楷体"/>
          <w:b/>
          <w:kern w:val="0"/>
          <w:sz w:val="24"/>
        </w:rPr>
        <w:t>7.2 定标方式</w:t>
      </w:r>
      <w:bookmarkEnd w:id="255"/>
      <w:bookmarkEnd w:id="256"/>
      <w:bookmarkEnd w:id="257"/>
      <w:bookmarkEnd w:id="258"/>
      <w:bookmarkEnd w:id="259"/>
      <w:bookmarkEnd w:id="260"/>
    </w:p>
    <w:p>
      <w:pPr>
        <w:ind w:firstLine="480"/>
        <w:jc w:val="left"/>
        <w:rPr>
          <w:rFonts w:ascii="仿宋" w:hAnsi="仿宋" w:eastAsia="仿宋"/>
          <w:sz w:val="24"/>
        </w:rPr>
      </w:pPr>
      <w:r>
        <w:rPr>
          <w:rFonts w:hint="eastAsia" w:ascii="仿宋" w:hAnsi="仿宋" w:eastAsia="仿宋"/>
          <w:sz w:val="24"/>
        </w:rPr>
        <w:t>招标人根据评标报告中推荐的中标人候选人按管理制度流程择优选定中标人。</w:t>
      </w:r>
    </w:p>
    <w:p>
      <w:pPr>
        <w:widowControl/>
        <w:spacing w:line="360" w:lineRule="auto"/>
        <w:ind w:firstLine="198" w:firstLineChars="82"/>
        <w:jc w:val="left"/>
        <w:outlineLvl w:val="2"/>
        <w:rPr>
          <w:rFonts w:ascii="仿宋" w:hAnsi="仿宋" w:eastAsia="仿宋" w:cs="楷体"/>
          <w:b/>
          <w:kern w:val="0"/>
          <w:sz w:val="24"/>
        </w:rPr>
      </w:pPr>
      <w:bookmarkStart w:id="261" w:name="_Toc19964"/>
      <w:bookmarkStart w:id="262" w:name="_Toc20288"/>
      <w:bookmarkStart w:id="263" w:name="_Toc514751531"/>
      <w:bookmarkStart w:id="264" w:name="_Toc27476"/>
      <w:bookmarkStart w:id="265" w:name="_Toc60241481"/>
      <w:bookmarkStart w:id="266" w:name="_Toc151390380"/>
      <w:r>
        <w:rPr>
          <w:rFonts w:ascii="仿宋" w:hAnsi="仿宋" w:eastAsia="仿宋" w:cs="楷体"/>
          <w:b/>
          <w:kern w:val="0"/>
          <w:sz w:val="24"/>
        </w:rPr>
        <w:t>2.</w:t>
      </w:r>
      <w:r>
        <w:rPr>
          <w:rFonts w:hint="eastAsia" w:ascii="仿宋" w:hAnsi="仿宋" w:eastAsia="仿宋" w:cs="楷体"/>
          <w:b/>
          <w:kern w:val="0"/>
          <w:sz w:val="24"/>
        </w:rPr>
        <w:t>7.3 中标通知</w:t>
      </w:r>
      <w:bookmarkEnd w:id="261"/>
      <w:bookmarkEnd w:id="262"/>
      <w:bookmarkEnd w:id="263"/>
      <w:bookmarkEnd w:id="264"/>
      <w:bookmarkEnd w:id="265"/>
      <w:bookmarkEnd w:id="266"/>
    </w:p>
    <w:p>
      <w:pPr>
        <w:spacing w:line="360" w:lineRule="auto"/>
        <w:ind w:firstLine="480" w:firstLineChars="200"/>
        <w:rPr>
          <w:rFonts w:ascii="仿宋" w:hAnsi="仿宋" w:eastAsia="仿宋"/>
          <w:sz w:val="24"/>
        </w:rPr>
      </w:pPr>
      <w:r>
        <w:rPr>
          <w:rFonts w:hint="eastAsia" w:ascii="仿宋" w:hAnsi="仿宋" w:eastAsia="仿宋"/>
          <w:sz w:val="24"/>
        </w:rPr>
        <w:t>根据定标结果，四川天成明超电缆有限公司官方网站（http://www.tcmcdl.cn/）公示三天。公示期结束后，招标人以书面形式向中标人发出中标通知书。</w:t>
      </w:r>
    </w:p>
    <w:p>
      <w:pPr>
        <w:widowControl/>
        <w:spacing w:line="360" w:lineRule="auto"/>
        <w:ind w:firstLine="198" w:firstLineChars="82"/>
        <w:jc w:val="left"/>
        <w:outlineLvl w:val="2"/>
        <w:rPr>
          <w:rFonts w:ascii="仿宋" w:hAnsi="仿宋" w:eastAsia="仿宋" w:cs="楷体"/>
          <w:b/>
          <w:kern w:val="0"/>
          <w:sz w:val="24"/>
        </w:rPr>
      </w:pPr>
      <w:bookmarkStart w:id="267" w:name="_Toc24546"/>
      <w:bookmarkStart w:id="268" w:name="_Toc9128"/>
      <w:bookmarkStart w:id="269" w:name="_Toc514751532"/>
      <w:bookmarkStart w:id="270" w:name="_Toc17771"/>
      <w:bookmarkStart w:id="271" w:name="_Toc60241482"/>
      <w:bookmarkStart w:id="272" w:name="_Toc151390381"/>
      <w:r>
        <w:rPr>
          <w:rFonts w:ascii="仿宋" w:hAnsi="仿宋" w:eastAsia="仿宋" w:cs="楷体"/>
          <w:b/>
          <w:kern w:val="0"/>
          <w:sz w:val="24"/>
        </w:rPr>
        <w:t>2.</w:t>
      </w:r>
      <w:r>
        <w:rPr>
          <w:rFonts w:hint="eastAsia" w:ascii="仿宋" w:hAnsi="仿宋" w:eastAsia="仿宋" w:cs="楷体"/>
          <w:b/>
          <w:kern w:val="0"/>
          <w:sz w:val="24"/>
        </w:rPr>
        <w:t>7.4 履约担保</w:t>
      </w:r>
      <w:bookmarkEnd w:id="267"/>
      <w:bookmarkEnd w:id="268"/>
      <w:bookmarkEnd w:id="269"/>
      <w:bookmarkEnd w:id="270"/>
      <w:bookmarkEnd w:id="271"/>
      <w:bookmarkEnd w:id="272"/>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7.4.1在签订合同前，中标人应按投标人须知前附表规定的金额、担保形式向招标人提交履约担保。</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7.4.2中标人不能按本章第7.</w:t>
      </w:r>
      <w:r>
        <w:rPr>
          <w:rFonts w:ascii="仿宋" w:hAnsi="仿宋" w:eastAsia="仿宋"/>
          <w:sz w:val="24"/>
        </w:rPr>
        <w:t>4</w:t>
      </w:r>
      <w:r>
        <w:rPr>
          <w:rFonts w:hint="eastAsia" w:ascii="仿宋" w:hAnsi="仿宋" w:eastAsia="仿宋"/>
          <w:sz w:val="24"/>
        </w:rPr>
        <w:t>.1项要求提交履约担保的，视为放弃中标，其投标保证金不予退还，给招标人造成的损失超过投标保证金数额的，中标人还应当对超过部分予以赔偿。</w:t>
      </w:r>
    </w:p>
    <w:p>
      <w:pPr>
        <w:widowControl/>
        <w:spacing w:line="360" w:lineRule="auto"/>
        <w:ind w:firstLine="198" w:firstLineChars="82"/>
        <w:jc w:val="left"/>
        <w:outlineLvl w:val="2"/>
        <w:rPr>
          <w:rFonts w:ascii="仿宋" w:hAnsi="仿宋" w:eastAsia="仿宋" w:cs="楷体"/>
          <w:b/>
          <w:kern w:val="0"/>
          <w:sz w:val="24"/>
        </w:rPr>
      </w:pPr>
      <w:bookmarkStart w:id="273" w:name="_Toc514751533"/>
      <w:bookmarkStart w:id="274" w:name="_Toc15844"/>
      <w:bookmarkStart w:id="275" w:name="_Toc1721"/>
      <w:bookmarkStart w:id="276" w:name="_Toc60241483"/>
      <w:bookmarkStart w:id="277" w:name="_Toc3396"/>
      <w:bookmarkStart w:id="278" w:name="_Toc151390382"/>
      <w:r>
        <w:rPr>
          <w:rFonts w:ascii="仿宋" w:hAnsi="仿宋" w:eastAsia="仿宋" w:cs="楷体"/>
          <w:b/>
          <w:kern w:val="0"/>
          <w:sz w:val="24"/>
        </w:rPr>
        <w:t>2.</w:t>
      </w:r>
      <w:r>
        <w:rPr>
          <w:rFonts w:hint="eastAsia" w:ascii="仿宋" w:hAnsi="仿宋" w:eastAsia="仿宋" w:cs="楷体"/>
          <w:b/>
          <w:kern w:val="0"/>
          <w:sz w:val="24"/>
        </w:rPr>
        <w:t>7.5 签订合同</w:t>
      </w:r>
      <w:bookmarkEnd w:id="273"/>
      <w:bookmarkEnd w:id="274"/>
      <w:bookmarkEnd w:id="275"/>
      <w:bookmarkEnd w:id="276"/>
      <w:bookmarkEnd w:id="277"/>
      <w:bookmarkEnd w:id="278"/>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7.5.1招标人和中标人应当自中标通知书发出之日起</w:t>
      </w:r>
      <w:r>
        <w:rPr>
          <w:rFonts w:ascii="仿宋" w:hAnsi="仿宋" w:eastAsia="仿宋"/>
          <w:sz w:val="24"/>
        </w:rPr>
        <w:t>15</w:t>
      </w:r>
      <w:r>
        <w:rPr>
          <w:rFonts w:hint="eastAsia" w:ascii="仿宋" w:hAnsi="仿宋" w:eastAsia="仿宋"/>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spacing w:before="120" w:after="60" w:line="360" w:lineRule="auto"/>
        <w:jc w:val="left"/>
        <w:outlineLvl w:val="1"/>
        <w:rPr>
          <w:rFonts w:ascii="仿宋" w:hAnsi="仿宋" w:eastAsia="仿宋" w:cs="楷体"/>
          <w:b/>
          <w:bCs/>
          <w:kern w:val="0"/>
          <w:sz w:val="28"/>
          <w:szCs w:val="28"/>
        </w:rPr>
      </w:pPr>
      <w:bookmarkStart w:id="279" w:name="_Toc4201"/>
      <w:bookmarkStart w:id="280" w:name="_Toc24045"/>
      <w:bookmarkStart w:id="281" w:name="_Toc60241484"/>
      <w:bookmarkStart w:id="282" w:name="_Toc19087"/>
      <w:bookmarkStart w:id="283" w:name="_Toc514751534"/>
      <w:bookmarkStart w:id="284" w:name="_Toc151390383"/>
      <w:r>
        <w:rPr>
          <w:rFonts w:ascii="仿宋" w:hAnsi="仿宋" w:eastAsia="仿宋" w:cs="楷体"/>
          <w:b/>
          <w:bCs/>
          <w:kern w:val="0"/>
          <w:sz w:val="28"/>
          <w:szCs w:val="28"/>
        </w:rPr>
        <w:t>2.</w:t>
      </w:r>
      <w:r>
        <w:rPr>
          <w:rFonts w:hint="eastAsia" w:ascii="仿宋" w:hAnsi="仿宋" w:eastAsia="仿宋" w:cs="楷体"/>
          <w:b/>
          <w:bCs/>
          <w:kern w:val="0"/>
          <w:sz w:val="28"/>
          <w:szCs w:val="28"/>
        </w:rPr>
        <w:t>8重新招标和不再招标</w:t>
      </w:r>
      <w:bookmarkEnd w:id="279"/>
      <w:bookmarkEnd w:id="280"/>
      <w:bookmarkEnd w:id="281"/>
      <w:bookmarkEnd w:id="282"/>
      <w:bookmarkEnd w:id="283"/>
      <w:bookmarkEnd w:id="284"/>
    </w:p>
    <w:p>
      <w:pPr>
        <w:keepNext/>
        <w:keepLines/>
        <w:spacing w:before="156" w:after="156"/>
        <w:outlineLvl w:val="2"/>
        <w:rPr>
          <w:rFonts w:ascii="仿宋" w:hAnsi="仿宋" w:eastAsia="仿宋"/>
          <w:b/>
          <w:bCs/>
          <w:kern w:val="0"/>
          <w:sz w:val="24"/>
          <w:szCs w:val="32"/>
        </w:rPr>
      </w:pPr>
      <w:bookmarkStart w:id="285" w:name="_Toc30498"/>
      <w:bookmarkStart w:id="286" w:name="_Toc514751535"/>
      <w:bookmarkStart w:id="287" w:name="_Toc4395"/>
      <w:bookmarkStart w:id="288" w:name="_Toc10687"/>
      <w:bookmarkStart w:id="289" w:name="_Toc79842669"/>
      <w:bookmarkStart w:id="290" w:name="_Toc151390384"/>
      <w:bookmarkStart w:id="291" w:name="_Toc30487"/>
      <w:bookmarkStart w:id="292" w:name="_Toc60241488"/>
      <w:bookmarkStart w:id="293" w:name="_Toc514751538"/>
      <w:bookmarkStart w:id="294" w:name="_Toc28174"/>
      <w:bookmarkStart w:id="295" w:name="_Toc11256"/>
      <w:r>
        <w:rPr>
          <w:rFonts w:ascii="仿宋" w:hAnsi="仿宋" w:eastAsia="仿宋"/>
          <w:b/>
          <w:bCs/>
          <w:kern w:val="0"/>
          <w:sz w:val="24"/>
          <w:szCs w:val="32"/>
        </w:rPr>
        <w:t>2.</w:t>
      </w:r>
      <w:r>
        <w:rPr>
          <w:rFonts w:hint="eastAsia" w:ascii="仿宋" w:hAnsi="仿宋" w:eastAsia="仿宋"/>
          <w:b/>
          <w:bCs/>
          <w:kern w:val="0"/>
          <w:sz w:val="24"/>
          <w:szCs w:val="32"/>
        </w:rPr>
        <w:t>8.1 重新招标</w:t>
      </w:r>
      <w:bookmarkEnd w:id="285"/>
      <w:bookmarkEnd w:id="286"/>
      <w:bookmarkEnd w:id="287"/>
      <w:bookmarkEnd w:id="288"/>
      <w:bookmarkEnd w:id="289"/>
      <w:bookmarkEnd w:id="290"/>
    </w:p>
    <w:p>
      <w:pPr>
        <w:spacing w:line="360" w:lineRule="auto"/>
        <w:ind w:firstLine="480" w:firstLineChars="200"/>
        <w:rPr>
          <w:rFonts w:ascii="仿宋" w:hAnsi="仿宋" w:eastAsia="仿宋"/>
          <w:sz w:val="24"/>
        </w:rPr>
      </w:pPr>
      <w:bookmarkStart w:id="296" w:name="_Toc79842672"/>
      <w:bookmarkStart w:id="297" w:name="_Toc29025"/>
      <w:r>
        <w:rPr>
          <w:rFonts w:hint="eastAsia" w:ascii="仿宋" w:hAnsi="仿宋" w:eastAsia="仿宋"/>
          <w:sz w:val="24"/>
        </w:rPr>
        <w:t>有下列情形之一的，招标人将重新招标或转为竞争性谈判：</w:t>
      </w:r>
    </w:p>
    <w:p>
      <w:pPr>
        <w:spacing w:line="360" w:lineRule="auto"/>
        <w:ind w:firstLine="480" w:firstLineChars="200"/>
        <w:rPr>
          <w:rFonts w:ascii="仿宋" w:hAnsi="仿宋" w:eastAsia="仿宋"/>
          <w:sz w:val="24"/>
        </w:rPr>
      </w:pPr>
      <w:r>
        <w:rPr>
          <w:rFonts w:hint="eastAsia" w:ascii="仿宋" w:hAnsi="仿宋" w:eastAsia="仿宋"/>
          <w:sz w:val="24"/>
        </w:rPr>
        <w:t>（1）投标截止时间止，标段投标人少于3个的；</w:t>
      </w:r>
    </w:p>
    <w:p>
      <w:pPr>
        <w:spacing w:line="360" w:lineRule="auto"/>
        <w:ind w:firstLine="480" w:firstLineChars="200"/>
        <w:rPr>
          <w:rFonts w:ascii="仿宋" w:hAnsi="仿宋" w:eastAsia="仿宋"/>
          <w:sz w:val="24"/>
        </w:rPr>
      </w:pPr>
      <w:r>
        <w:rPr>
          <w:rFonts w:hint="eastAsia" w:ascii="仿宋" w:hAnsi="仿宋" w:eastAsia="仿宋"/>
          <w:sz w:val="24"/>
        </w:rPr>
        <w:t>（2）经评标委员会评审否决所有投标的。</w:t>
      </w:r>
    </w:p>
    <w:p>
      <w:pPr>
        <w:keepNext/>
        <w:keepLines/>
        <w:spacing w:before="156" w:after="156"/>
        <w:outlineLvl w:val="2"/>
        <w:rPr>
          <w:rFonts w:ascii="仿宋" w:hAnsi="仿宋" w:eastAsia="仿宋"/>
          <w:b/>
          <w:bCs/>
          <w:kern w:val="0"/>
          <w:sz w:val="24"/>
          <w:szCs w:val="32"/>
        </w:rPr>
      </w:pPr>
      <w:bookmarkStart w:id="298" w:name="_Toc151390385"/>
      <w:bookmarkStart w:id="299" w:name="_Toc28938"/>
      <w:r>
        <w:rPr>
          <w:rFonts w:ascii="仿宋" w:hAnsi="仿宋" w:eastAsia="仿宋"/>
          <w:b/>
          <w:bCs/>
          <w:kern w:val="0"/>
          <w:sz w:val="24"/>
          <w:szCs w:val="32"/>
        </w:rPr>
        <w:t>2.</w:t>
      </w:r>
      <w:r>
        <w:rPr>
          <w:rFonts w:hint="eastAsia" w:ascii="仿宋" w:hAnsi="仿宋" w:eastAsia="仿宋"/>
          <w:b/>
          <w:bCs/>
          <w:kern w:val="0"/>
          <w:sz w:val="24"/>
          <w:szCs w:val="32"/>
        </w:rPr>
        <w:t>8.2 不再招标</w:t>
      </w:r>
      <w:bookmarkEnd w:id="298"/>
      <w:bookmarkEnd w:id="299"/>
    </w:p>
    <w:p>
      <w:pPr>
        <w:spacing w:line="360" w:lineRule="auto"/>
        <w:ind w:firstLine="480" w:firstLineChars="200"/>
        <w:rPr>
          <w:rFonts w:ascii="仿宋" w:hAnsi="仿宋" w:eastAsia="仿宋"/>
          <w:sz w:val="24"/>
        </w:rPr>
      </w:pPr>
      <w:r>
        <w:rPr>
          <w:rFonts w:hint="eastAsia" w:ascii="仿宋" w:hAnsi="仿宋" w:eastAsia="仿宋"/>
          <w:sz w:val="24"/>
        </w:rPr>
        <w:t>重新招标后，投标人仍少于3个或者经评标委员会评审后所有投标被否决的。</w:t>
      </w:r>
    </w:p>
    <w:p>
      <w:pPr>
        <w:keepNext/>
        <w:keepLines/>
        <w:spacing w:before="156" w:after="156"/>
        <w:outlineLvl w:val="2"/>
        <w:rPr>
          <w:rFonts w:ascii="仿宋" w:hAnsi="仿宋" w:eastAsia="仿宋"/>
          <w:b/>
          <w:bCs/>
          <w:kern w:val="0"/>
          <w:sz w:val="24"/>
          <w:szCs w:val="32"/>
        </w:rPr>
      </w:pPr>
      <w:bookmarkStart w:id="300" w:name="_Toc453872462"/>
      <w:bookmarkStart w:id="301" w:name="_Toc411"/>
      <w:bookmarkStart w:id="302" w:name="_Toc151390386"/>
      <w:r>
        <w:rPr>
          <w:rFonts w:ascii="仿宋" w:hAnsi="仿宋" w:eastAsia="仿宋"/>
          <w:b/>
          <w:bCs/>
          <w:kern w:val="0"/>
          <w:sz w:val="24"/>
          <w:szCs w:val="32"/>
        </w:rPr>
        <w:t>2.</w:t>
      </w:r>
      <w:r>
        <w:rPr>
          <w:rFonts w:hint="eastAsia" w:ascii="仿宋" w:hAnsi="仿宋" w:eastAsia="仿宋"/>
          <w:b/>
          <w:bCs/>
          <w:kern w:val="0"/>
          <w:sz w:val="24"/>
          <w:szCs w:val="32"/>
        </w:rPr>
        <w:t>8.3 转为竞争性谈判</w:t>
      </w:r>
      <w:bookmarkEnd w:id="300"/>
      <w:bookmarkEnd w:id="301"/>
      <w:bookmarkEnd w:id="302"/>
    </w:p>
    <w:p>
      <w:pPr>
        <w:spacing w:line="360" w:lineRule="auto"/>
        <w:ind w:firstLine="480" w:firstLineChars="200"/>
        <w:rPr>
          <w:rFonts w:ascii="仿宋" w:hAnsi="仿宋" w:eastAsia="仿宋"/>
          <w:sz w:val="24"/>
        </w:rPr>
      </w:pPr>
      <w:r>
        <w:rPr>
          <w:rFonts w:hint="eastAsia" w:ascii="仿宋" w:hAnsi="仿宋" w:eastAsia="仿宋"/>
          <w:sz w:val="24"/>
        </w:rPr>
        <w:t>投标截止时间止，投标人为</w:t>
      </w:r>
      <w:r>
        <w:rPr>
          <w:rFonts w:ascii="仿宋" w:hAnsi="仿宋" w:eastAsia="仿宋"/>
          <w:sz w:val="24"/>
        </w:rPr>
        <w:t>3</w:t>
      </w:r>
      <w:r>
        <w:rPr>
          <w:rFonts w:hint="eastAsia" w:ascii="仿宋" w:hAnsi="仿宋" w:eastAsia="仿宋"/>
          <w:sz w:val="24"/>
        </w:rPr>
        <w:t>个时，经总经办批准可以转为竞争性谈判。</w:t>
      </w:r>
    </w:p>
    <w:bookmarkEnd w:id="296"/>
    <w:bookmarkEnd w:id="297"/>
    <w:p>
      <w:pPr>
        <w:widowControl/>
        <w:spacing w:before="120" w:after="60" w:line="360" w:lineRule="auto"/>
        <w:jc w:val="left"/>
        <w:outlineLvl w:val="1"/>
        <w:rPr>
          <w:rFonts w:ascii="仿宋" w:hAnsi="仿宋" w:eastAsia="仿宋" w:cs="楷体"/>
          <w:b/>
          <w:bCs/>
          <w:kern w:val="0"/>
          <w:sz w:val="28"/>
          <w:szCs w:val="28"/>
        </w:rPr>
      </w:pPr>
      <w:bookmarkStart w:id="303" w:name="_Toc151390387"/>
      <w:r>
        <w:rPr>
          <w:rFonts w:ascii="仿宋" w:hAnsi="仿宋" w:eastAsia="仿宋" w:cs="楷体"/>
          <w:b/>
          <w:bCs/>
          <w:kern w:val="0"/>
          <w:sz w:val="28"/>
          <w:szCs w:val="28"/>
        </w:rPr>
        <w:t>2.</w:t>
      </w:r>
      <w:r>
        <w:rPr>
          <w:rFonts w:hint="eastAsia" w:ascii="仿宋" w:hAnsi="仿宋" w:eastAsia="仿宋" w:cs="楷体"/>
          <w:b/>
          <w:bCs/>
          <w:kern w:val="0"/>
          <w:sz w:val="28"/>
          <w:szCs w:val="28"/>
        </w:rPr>
        <w:t>9纪律和监督</w:t>
      </w:r>
      <w:bookmarkEnd w:id="291"/>
      <w:bookmarkEnd w:id="292"/>
      <w:bookmarkEnd w:id="293"/>
      <w:bookmarkEnd w:id="294"/>
      <w:bookmarkEnd w:id="295"/>
      <w:bookmarkEnd w:id="303"/>
    </w:p>
    <w:p>
      <w:pPr>
        <w:widowControl/>
        <w:spacing w:line="360" w:lineRule="auto"/>
        <w:ind w:firstLine="198" w:firstLineChars="82"/>
        <w:jc w:val="left"/>
        <w:outlineLvl w:val="2"/>
        <w:rPr>
          <w:rFonts w:ascii="仿宋" w:hAnsi="仿宋" w:eastAsia="仿宋" w:cs="楷体"/>
          <w:b/>
          <w:kern w:val="0"/>
          <w:sz w:val="24"/>
        </w:rPr>
      </w:pPr>
      <w:bookmarkStart w:id="304" w:name="_Toc514751539"/>
      <w:bookmarkStart w:id="305" w:name="_Toc60241489"/>
      <w:bookmarkStart w:id="306" w:name="_Toc29354"/>
      <w:bookmarkStart w:id="307" w:name="_Toc2899"/>
      <w:bookmarkStart w:id="308" w:name="_Toc151390388"/>
      <w:r>
        <w:rPr>
          <w:rFonts w:ascii="仿宋" w:hAnsi="仿宋" w:eastAsia="仿宋" w:cs="楷体"/>
          <w:b/>
          <w:kern w:val="0"/>
          <w:sz w:val="24"/>
        </w:rPr>
        <w:t>2.</w:t>
      </w:r>
      <w:r>
        <w:rPr>
          <w:rFonts w:hint="eastAsia" w:ascii="仿宋" w:hAnsi="仿宋" w:eastAsia="仿宋" w:cs="楷体"/>
          <w:b/>
          <w:kern w:val="0"/>
          <w:sz w:val="24"/>
        </w:rPr>
        <w:t>9.1 对招标人的纪律要求</w:t>
      </w:r>
      <w:bookmarkEnd w:id="304"/>
      <w:bookmarkEnd w:id="305"/>
      <w:bookmarkEnd w:id="306"/>
      <w:bookmarkEnd w:id="307"/>
      <w:bookmarkEnd w:id="308"/>
    </w:p>
    <w:p>
      <w:pPr>
        <w:spacing w:line="360" w:lineRule="auto"/>
        <w:ind w:firstLine="480" w:firstLineChars="200"/>
        <w:rPr>
          <w:rFonts w:ascii="仿宋" w:hAnsi="仿宋" w:eastAsia="仿宋"/>
          <w:sz w:val="24"/>
        </w:rPr>
      </w:pPr>
      <w:r>
        <w:rPr>
          <w:rFonts w:hint="eastAsia" w:ascii="仿宋" w:hAnsi="仿宋" w:eastAsia="仿宋"/>
          <w:sz w:val="24"/>
        </w:rPr>
        <w:t>招标人不得泄露招标活动中相关的情况和资料，不得与投标人串通损害国家利益、社会公共利益或者他人合法权益。</w:t>
      </w:r>
    </w:p>
    <w:p>
      <w:pPr>
        <w:widowControl/>
        <w:spacing w:line="360" w:lineRule="auto"/>
        <w:ind w:firstLine="198" w:firstLineChars="82"/>
        <w:jc w:val="left"/>
        <w:outlineLvl w:val="2"/>
        <w:rPr>
          <w:rFonts w:ascii="仿宋" w:hAnsi="仿宋" w:eastAsia="仿宋" w:cs="楷体"/>
          <w:b/>
          <w:kern w:val="0"/>
          <w:sz w:val="24"/>
        </w:rPr>
      </w:pPr>
      <w:bookmarkStart w:id="309" w:name="_Toc60241490"/>
      <w:bookmarkStart w:id="310" w:name="_Toc969"/>
      <w:bookmarkStart w:id="311" w:name="_Toc6865"/>
      <w:bookmarkStart w:id="312" w:name="_Toc31756"/>
      <w:bookmarkStart w:id="313" w:name="_Toc514751540"/>
      <w:bookmarkStart w:id="314" w:name="_Toc151390389"/>
      <w:r>
        <w:rPr>
          <w:rFonts w:ascii="仿宋" w:hAnsi="仿宋" w:eastAsia="仿宋" w:cs="楷体"/>
          <w:b/>
          <w:kern w:val="0"/>
          <w:sz w:val="24"/>
        </w:rPr>
        <w:t>2.</w:t>
      </w:r>
      <w:r>
        <w:rPr>
          <w:rFonts w:hint="eastAsia" w:ascii="仿宋" w:hAnsi="仿宋" w:eastAsia="仿宋" w:cs="楷体"/>
          <w:b/>
          <w:kern w:val="0"/>
          <w:sz w:val="24"/>
        </w:rPr>
        <w:t>9.2 对投标人的纪律要求</w:t>
      </w:r>
      <w:bookmarkEnd w:id="309"/>
      <w:bookmarkEnd w:id="310"/>
      <w:bookmarkEnd w:id="311"/>
      <w:bookmarkEnd w:id="312"/>
      <w:bookmarkEnd w:id="313"/>
      <w:bookmarkEnd w:id="314"/>
    </w:p>
    <w:p>
      <w:pPr>
        <w:spacing w:line="360" w:lineRule="auto"/>
        <w:ind w:firstLine="480" w:firstLineChars="200"/>
        <w:rPr>
          <w:rFonts w:ascii="仿宋" w:hAnsi="仿宋" w:eastAsia="仿宋"/>
          <w:sz w:val="24"/>
        </w:rPr>
      </w:pPr>
      <w:r>
        <w:rPr>
          <w:rFonts w:hint="eastAsia" w:ascii="仿宋" w:hAnsi="仿宋" w:eastAsia="仿宋"/>
          <w:sz w:val="24"/>
        </w:rPr>
        <w:t>投标人不得相互串通或者与招标人串通投标，不得向招标人或者评标委员会成员行贿谋取中标，不得以他人名义或者以其它弄虚作假的方式投标或骗取中标；投标人不得以任何方式干扰、影响评标工作。</w:t>
      </w:r>
    </w:p>
    <w:p>
      <w:pPr>
        <w:widowControl/>
        <w:spacing w:line="360" w:lineRule="auto"/>
        <w:ind w:firstLine="198" w:firstLineChars="82"/>
        <w:jc w:val="left"/>
        <w:outlineLvl w:val="2"/>
        <w:rPr>
          <w:rFonts w:ascii="仿宋" w:hAnsi="仿宋" w:eastAsia="仿宋" w:cs="楷体"/>
          <w:b/>
          <w:kern w:val="0"/>
          <w:sz w:val="24"/>
        </w:rPr>
      </w:pPr>
      <w:bookmarkStart w:id="315" w:name="_Toc14088"/>
      <w:bookmarkStart w:id="316" w:name="_Toc514751541"/>
      <w:bookmarkStart w:id="317" w:name="_Toc20142"/>
      <w:bookmarkStart w:id="318" w:name="_Toc60241491"/>
      <w:bookmarkStart w:id="319" w:name="_Toc5453"/>
      <w:bookmarkStart w:id="320" w:name="_Toc151390390"/>
      <w:r>
        <w:rPr>
          <w:rFonts w:ascii="仿宋" w:hAnsi="仿宋" w:eastAsia="仿宋" w:cs="楷体"/>
          <w:b/>
          <w:kern w:val="0"/>
          <w:sz w:val="24"/>
        </w:rPr>
        <w:t>2.</w:t>
      </w:r>
      <w:r>
        <w:rPr>
          <w:rFonts w:hint="eastAsia" w:ascii="仿宋" w:hAnsi="仿宋" w:eastAsia="仿宋" w:cs="楷体"/>
          <w:b/>
          <w:kern w:val="0"/>
          <w:sz w:val="24"/>
        </w:rPr>
        <w:t>9.3 对评标委员会成员的纪律要求</w:t>
      </w:r>
      <w:bookmarkEnd w:id="315"/>
      <w:bookmarkEnd w:id="316"/>
      <w:bookmarkEnd w:id="317"/>
      <w:bookmarkEnd w:id="318"/>
      <w:bookmarkEnd w:id="319"/>
      <w:bookmarkEnd w:id="320"/>
    </w:p>
    <w:p>
      <w:pPr>
        <w:spacing w:line="360" w:lineRule="auto"/>
        <w:ind w:firstLine="480" w:firstLineChars="200"/>
        <w:rPr>
          <w:rFonts w:ascii="仿宋" w:hAnsi="仿宋" w:eastAsia="仿宋"/>
          <w:sz w:val="24"/>
        </w:rPr>
      </w:pPr>
      <w:r>
        <w:rPr>
          <w:rFonts w:hint="eastAsia" w:ascii="仿宋" w:hAnsi="仿宋" w:eastAsia="仿宋"/>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pPr>
        <w:widowControl/>
        <w:spacing w:line="360" w:lineRule="auto"/>
        <w:ind w:firstLine="198" w:firstLineChars="82"/>
        <w:jc w:val="left"/>
        <w:outlineLvl w:val="2"/>
        <w:rPr>
          <w:rFonts w:ascii="仿宋" w:hAnsi="仿宋" w:eastAsia="仿宋" w:cs="楷体"/>
          <w:b/>
          <w:kern w:val="0"/>
          <w:sz w:val="24"/>
        </w:rPr>
      </w:pPr>
      <w:bookmarkStart w:id="321" w:name="_Toc16993"/>
      <w:bookmarkStart w:id="322" w:name="_Toc13537"/>
      <w:bookmarkStart w:id="323" w:name="_Toc514751542"/>
      <w:bookmarkStart w:id="324" w:name="_Toc24342"/>
      <w:bookmarkStart w:id="325" w:name="_Toc60241492"/>
      <w:bookmarkStart w:id="326" w:name="_Toc151390391"/>
      <w:r>
        <w:rPr>
          <w:rFonts w:ascii="仿宋" w:hAnsi="仿宋" w:eastAsia="仿宋" w:cs="楷体"/>
          <w:b/>
          <w:kern w:val="0"/>
          <w:sz w:val="24"/>
        </w:rPr>
        <w:t>2.</w:t>
      </w:r>
      <w:r>
        <w:rPr>
          <w:rFonts w:hint="eastAsia" w:ascii="仿宋" w:hAnsi="仿宋" w:eastAsia="仿宋" w:cs="楷体"/>
          <w:b/>
          <w:kern w:val="0"/>
          <w:sz w:val="24"/>
        </w:rPr>
        <w:t>9.4 对与评标活动有关的工作人员的纪律要求</w:t>
      </w:r>
      <w:bookmarkEnd w:id="321"/>
      <w:bookmarkEnd w:id="322"/>
      <w:bookmarkEnd w:id="323"/>
      <w:bookmarkEnd w:id="324"/>
      <w:bookmarkEnd w:id="325"/>
      <w:bookmarkEnd w:id="326"/>
    </w:p>
    <w:p>
      <w:pPr>
        <w:spacing w:line="360" w:lineRule="auto"/>
        <w:ind w:firstLine="480" w:firstLineChars="200"/>
        <w:rPr>
          <w:rFonts w:ascii="仿宋" w:hAnsi="仿宋" w:eastAsia="仿宋"/>
          <w:sz w:val="24"/>
        </w:rPr>
      </w:pPr>
      <w:r>
        <w:rPr>
          <w:rFonts w:hint="eastAsia" w:ascii="仿宋" w:hAnsi="仿宋" w:eastAsia="仿宋"/>
          <w:sz w:val="24"/>
        </w:rPr>
        <w:t>与评标活动有关的工作人员不得收受他人的财务或者其它好处，不得向他人透漏对投标文件的评审和比较、中标候选人的推荐情况以及评标有关的其它情况。在评标活动中，与评标活动有关的工作人员不得擅离职守，影响评标程序正常进行。</w:t>
      </w:r>
    </w:p>
    <w:p>
      <w:pPr>
        <w:widowControl/>
        <w:spacing w:line="360" w:lineRule="auto"/>
        <w:ind w:firstLine="198" w:firstLineChars="82"/>
        <w:jc w:val="left"/>
        <w:outlineLvl w:val="2"/>
        <w:rPr>
          <w:rFonts w:ascii="仿宋" w:hAnsi="仿宋" w:eastAsia="仿宋" w:cs="楷体"/>
          <w:b/>
          <w:kern w:val="0"/>
          <w:sz w:val="24"/>
        </w:rPr>
      </w:pPr>
      <w:bookmarkStart w:id="327" w:name="_Toc6784"/>
      <w:bookmarkStart w:id="328" w:name="_Toc10416"/>
      <w:bookmarkStart w:id="329" w:name="_Toc514751543"/>
      <w:bookmarkStart w:id="330" w:name="_Toc60241493"/>
      <w:bookmarkStart w:id="331" w:name="_Toc32188"/>
      <w:bookmarkStart w:id="332" w:name="_Toc151390392"/>
      <w:r>
        <w:rPr>
          <w:rFonts w:ascii="仿宋" w:hAnsi="仿宋" w:eastAsia="仿宋" w:cs="楷体"/>
          <w:b/>
          <w:kern w:val="0"/>
          <w:sz w:val="24"/>
        </w:rPr>
        <w:t>2.</w:t>
      </w:r>
      <w:r>
        <w:rPr>
          <w:rFonts w:hint="eastAsia" w:ascii="仿宋" w:hAnsi="仿宋" w:eastAsia="仿宋" w:cs="楷体"/>
          <w:b/>
          <w:kern w:val="0"/>
          <w:sz w:val="24"/>
        </w:rPr>
        <w:t>9.5 投诉</w:t>
      </w:r>
      <w:bookmarkEnd w:id="327"/>
      <w:bookmarkEnd w:id="328"/>
      <w:bookmarkEnd w:id="329"/>
      <w:bookmarkEnd w:id="330"/>
      <w:bookmarkEnd w:id="331"/>
      <w:bookmarkEnd w:id="332"/>
    </w:p>
    <w:p>
      <w:pPr>
        <w:spacing w:line="360" w:lineRule="auto"/>
        <w:ind w:firstLine="480" w:firstLineChars="200"/>
        <w:rPr>
          <w:rFonts w:ascii="仿宋" w:hAnsi="仿宋" w:eastAsia="仿宋"/>
          <w:sz w:val="24"/>
        </w:rPr>
      </w:pPr>
      <w:r>
        <w:rPr>
          <w:rFonts w:hint="eastAsia" w:ascii="仿宋" w:hAnsi="仿宋" w:eastAsia="仿宋"/>
          <w:sz w:val="24"/>
        </w:rPr>
        <w:t>投标人或者其他利害关系人认为本次招标投标活动不符合法律、法规的，可以在知道或应当知道之日起10日内向四川天成明超电缆有限公司行政部提出投诉。投诉采用书面形式，投诉内容包括投诉人名称、地址及有效联系方式，被投诉人名称、地址及有效联系方式，投诉事项的基本事实，有关线索和相关证明材料，相关请求及主张。投诉人是法人的由法定代表人签字、盖章并提供身份证复印件，投诉人是自然人的由其本人签字并提供身份证复印件。四川天成明超电缆有限公司行政部监督电话：1</w:t>
      </w:r>
      <w:r>
        <w:rPr>
          <w:rFonts w:ascii="仿宋" w:hAnsi="仿宋" w:eastAsia="仿宋"/>
          <w:sz w:val="24"/>
        </w:rPr>
        <w:t>3888001548</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投标人或者其他利害关系人捏造事实、伪造材料或者以非法手段取得证明材料进行投诉，给他人造成损失的，依法承担赔偿责任。</w:t>
      </w:r>
    </w:p>
    <w:p>
      <w:pPr>
        <w:widowControl/>
        <w:spacing w:before="120" w:after="60" w:line="360" w:lineRule="auto"/>
        <w:jc w:val="left"/>
        <w:outlineLvl w:val="1"/>
        <w:rPr>
          <w:rFonts w:ascii="仿宋" w:hAnsi="仿宋" w:eastAsia="仿宋" w:cs="楷体"/>
          <w:b/>
          <w:bCs/>
          <w:kern w:val="0"/>
          <w:sz w:val="28"/>
          <w:szCs w:val="28"/>
        </w:rPr>
      </w:pPr>
      <w:bookmarkStart w:id="333" w:name="_Toc31574"/>
      <w:bookmarkStart w:id="334" w:name="_Toc8887"/>
      <w:bookmarkStart w:id="335" w:name="_Toc60241494"/>
      <w:bookmarkStart w:id="336" w:name="_Toc22527"/>
      <w:bookmarkStart w:id="337" w:name="_Toc151390393"/>
      <w:r>
        <w:rPr>
          <w:rFonts w:ascii="仿宋" w:hAnsi="仿宋" w:eastAsia="仿宋" w:cs="楷体"/>
          <w:b/>
          <w:bCs/>
          <w:kern w:val="0"/>
          <w:sz w:val="28"/>
          <w:szCs w:val="28"/>
        </w:rPr>
        <w:t>2.10</w:t>
      </w:r>
      <w:r>
        <w:rPr>
          <w:rFonts w:hint="eastAsia" w:ascii="仿宋" w:hAnsi="仿宋" w:eastAsia="仿宋" w:cs="楷体"/>
          <w:b/>
          <w:bCs/>
          <w:kern w:val="0"/>
          <w:sz w:val="28"/>
          <w:szCs w:val="28"/>
        </w:rPr>
        <w:t>是否采用电子招标投标</w:t>
      </w:r>
      <w:bookmarkEnd w:id="333"/>
      <w:bookmarkEnd w:id="334"/>
      <w:bookmarkEnd w:id="335"/>
      <w:bookmarkEnd w:id="336"/>
      <w:bookmarkEnd w:id="337"/>
    </w:p>
    <w:p>
      <w:pPr>
        <w:spacing w:line="360" w:lineRule="auto"/>
        <w:ind w:firstLine="480" w:firstLineChars="200"/>
        <w:rPr>
          <w:rFonts w:ascii="仿宋" w:hAnsi="仿宋" w:eastAsia="仿宋"/>
          <w:sz w:val="24"/>
        </w:rPr>
      </w:pPr>
      <w:r>
        <w:rPr>
          <w:rFonts w:hint="eastAsia" w:ascii="仿宋" w:hAnsi="仿宋" w:eastAsia="仿宋"/>
          <w:sz w:val="24"/>
        </w:rPr>
        <w:t>否。</w:t>
      </w:r>
    </w:p>
    <w:p>
      <w:pPr>
        <w:widowControl/>
        <w:spacing w:before="120" w:after="60" w:line="360" w:lineRule="auto"/>
        <w:jc w:val="left"/>
        <w:outlineLvl w:val="1"/>
        <w:rPr>
          <w:rFonts w:ascii="仿宋" w:hAnsi="仿宋" w:eastAsia="仿宋" w:cs="楷体"/>
          <w:b/>
          <w:bCs/>
          <w:kern w:val="0"/>
          <w:sz w:val="28"/>
          <w:szCs w:val="28"/>
        </w:rPr>
      </w:pPr>
      <w:bookmarkStart w:id="338" w:name="_Toc28687"/>
      <w:bookmarkStart w:id="339" w:name="_Toc514751545"/>
      <w:bookmarkStart w:id="340" w:name="_Toc60241495"/>
      <w:bookmarkStart w:id="341" w:name="_Toc6945"/>
      <w:bookmarkStart w:id="342" w:name="_Toc19767"/>
      <w:bookmarkStart w:id="343" w:name="_Toc151390394"/>
      <w:r>
        <w:rPr>
          <w:rFonts w:ascii="仿宋" w:hAnsi="仿宋" w:eastAsia="仿宋" w:cs="楷体"/>
          <w:b/>
          <w:bCs/>
          <w:kern w:val="0"/>
          <w:sz w:val="28"/>
          <w:szCs w:val="28"/>
        </w:rPr>
        <w:t>2.</w:t>
      </w:r>
      <w:r>
        <w:rPr>
          <w:rFonts w:hint="eastAsia" w:ascii="仿宋" w:hAnsi="仿宋" w:eastAsia="仿宋" w:cs="楷体"/>
          <w:b/>
          <w:bCs/>
          <w:kern w:val="0"/>
          <w:sz w:val="28"/>
          <w:szCs w:val="28"/>
        </w:rPr>
        <w:t>1</w:t>
      </w:r>
      <w:r>
        <w:rPr>
          <w:rFonts w:ascii="仿宋" w:hAnsi="仿宋" w:eastAsia="仿宋" w:cs="楷体"/>
          <w:b/>
          <w:bCs/>
          <w:kern w:val="0"/>
          <w:sz w:val="28"/>
          <w:szCs w:val="28"/>
        </w:rPr>
        <w:t>1</w:t>
      </w:r>
      <w:r>
        <w:rPr>
          <w:rFonts w:hint="eastAsia" w:ascii="仿宋" w:hAnsi="仿宋" w:eastAsia="仿宋" w:cs="楷体"/>
          <w:b/>
          <w:bCs/>
          <w:kern w:val="0"/>
          <w:sz w:val="28"/>
          <w:szCs w:val="28"/>
        </w:rPr>
        <w:t>需要补充的其他内容</w:t>
      </w:r>
      <w:bookmarkEnd w:id="338"/>
      <w:bookmarkEnd w:id="339"/>
      <w:bookmarkEnd w:id="340"/>
      <w:bookmarkEnd w:id="341"/>
      <w:bookmarkEnd w:id="342"/>
      <w:bookmarkEnd w:id="343"/>
    </w:p>
    <w:p>
      <w:pPr>
        <w:spacing w:line="360" w:lineRule="auto"/>
        <w:ind w:firstLine="480" w:firstLineChars="200"/>
        <w:rPr>
          <w:rFonts w:ascii="仿宋" w:hAnsi="仿宋" w:eastAsia="仿宋"/>
          <w:sz w:val="24"/>
        </w:rPr>
      </w:pPr>
      <w:r>
        <w:rPr>
          <w:rFonts w:hint="eastAsia" w:ascii="仿宋" w:hAnsi="仿宋" w:eastAsia="仿宋"/>
          <w:sz w:val="24"/>
        </w:rPr>
        <w:t>需要补充的其他内容：见投标人须知前附表。</w:t>
      </w:r>
    </w:p>
    <w:p>
      <w:pPr>
        <w:widowControl/>
        <w:jc w:val="left"/>
        <w:rPr>
          <w:rFonts w:ascii="仿宋" w:hAnsi="仿宋" w:eastAsia="仿宋"/>
          <w:sz w:val="24"/>
        </w:rPr>
      </w:pPr>
      <w:r>
        <w:rPr>
          <w:b/>
          <w:bCs/>
          <w:sz w:val="24"/>
        </w:rPr>
        <w:br w:type="page"/>
      </w:r>
    </w:p>
    <w:p>
      <w:pPr>
        <w:spacing w:before="240" w:after="240" w:line="360" w:lineRule="auto"/>
        <w:ind w:firstLine="420"/>
        <w:jc w:val="center"/>
        <w:outlineLvl w:val="0"/>
        <w:rPr>
          <w:rFonts w:ascii="仿宋" w:hAnsi="仿宋" w:eastAsia="仿宋" w:cs="楷体"/>
          <w:b/>
          <w:bCs/>
          <w:kern w:val="44"/>
          <w:sz w:val="32"/>
          <w:szCs w:val="44"/>
        </w:rPr>
      </w:pPr>
      <w:bookmarkStart w:id="344" w:name="_Toc151390395"/>
      <w:r>
        <w:rPr>
          <w:rFonts w:hint="eastAsia" w:ascii="仿宋" w:hAnsi="仿宋" w:eastAsia="仿宋" w:cs="楷体"/>
          <w:b/>
          <w:bCs/>
          <w:kern w:val="44"/>
          <w:sz w:val="32"/>
          <w:szCs w:val="44"/>
        </w:rPr>
        <w:t>第三章  评标办法（综合评估法）</w:t>
      </w:r>
      <w:bookmarkEnd w:id="344"/>
    </w:p>
    <w:p>
      <w:pPr>
        <w:spacing w:line="360" w:lineRule="auto"/>
        <w:rPr>
          <w:rFonts w:ascii="仿宋" w:hAnsi="仿宋" w:eastAsia="仿宋" w:cs="宋体"/>
          <w:kern w:val="0"/>
          <w:sz w:val="24"/>
        </w:rPr>
      </w:pPr>
      <w:r>
        <w:rPr>
          <w:rFonts w:ascii="仿宋" w:hAnsi="仿宋" w:eastAsia="仿宋" w:cs="宋体"/>
          <w:kern w:val="0"/>
          <w:sz w:val="24"/>
        </w:rPr>
        <w:t>3.1</w:t>
      </w:r>
      <w:r>
        <w:rPr>
          <w:rFonts w:hint="eastAsia" w:ascii="仿宋" w:hAnsi="仿宋" w:eastAsia="仿宋" w:cs="宋体"/>
          <w:kern w:val="0"/>
          <w:sz w:val="24"/>
        </w:rPr>
        <w:t>评审方法</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本次评审采用综合评估法对投标文件进行评审。</w:t>
      </w:r>
    </w:p>
    <w:p>
      <w:pPr>
        <w:spacing w:line="400" w:lineRule="exact"/>
        <w:ind w:firstLine="480" w:firstLineChars="200"/>
        <w:rPr>
          <w:rStyle w:val="46"/>
          <w:rFonts w:cs="Times New Roman"/>
        </w:rPr>
      </w:pPr>
      <w:r>
        <w:rPr>
          <w:rFonts w:hint="eastAsia" w:ascii="仿宋" w:hAnsi="仿宋" w:eastAsia="仿宋" w:cs="仿宋"/>
          <w:sz w:val="24"/>
        </w:rPr>
        <w:t>遵循的原则：采用有限数量评审制。</w:t>
      </w:r>
    </w:p>
    <w:p>
      <w:pPr>
        <w:tabs>
          <w:tab w:val="left" w:pos="6237"/>
        </w:tabs>
        <w:spacing w:line="360" w:lineRule="auto"/>
        <w:ind w:firstLine="480" w:firstLineChars="200"/>
        <w:rPr>
          <w:rFonts w:ascii="仿宋" w:hAnsi="仿宋" w:eastAsia="仿宋" w:cs="仿宋"/>
          <w:bCs/>
          <w:kern w:val="0"/>
          <w:sz w:val="24"/>
        </w:rPr>
      </w:pPr>
      <w:r>
        <w:rPr>
          <w:rFonts w:ascii="仿宋" w:hAnsi="仿宋" w:eastAsia="仿宋" w:cs="仿宋"/>
          <w:bCs/>
          <w:kern w:val="0"/>
          <w:sz w:val="24"/>
        </w:rPr>
        <w:t>3.1.1</w:t>
      </w:r>
      <w:r>
        <w:rPr>
          <w:rFonts w:hint="eastAsia" w:ascii="仿宋" w:hAnsi="仿宋" w:eastAsia="仿宋" w:cs="仿宋"/>
          <w:bCs/>
          <w:kern w:val="0"/>
          <w:sz w:val="24"/>
        </w:rPr>
        <w:t>当投标人数量等于或少于</w:t>
      </w:r>
      <w:r>
        <w:rPr>
          <w:rFonts w:ascii="仿宋" w:hAnsi="仿宋" w:eastAsia="仿宋" w:cs="仿宋"/>
          <w:bCs/>
          <w:kern w:val="0"/>
          <w:sz w:val="24"/>
        </w:rPr>
        <w:t>5</w:t>
      </w:r>
      <w:r>
        <w:rPr>
          <w:rFonts w:hint="eastAsia" w:ascii="仿宋" w:hAnsi="仿宋" w:eastAsia="仿宋" w:cs="仿宋"/>
          <w:bCs/>
          <w:kern w:val="0"/>
          <w:sz w:val="24"/>
        </w:rPr>
        <w:t>家时，对所有投标人递交的投标文件进行评审。</w:t>
      </w:r>
    </w:p>
    <w:p>
      <w:pPr>
        <w:tabs>
          <w:tab w:val="left" w:pos="6237"/>
        </w:tabs>
        <w:spacing w:line="360" w:lineRule="auto"/>
        <w:ind w:firstLine="480" w:firstLineChars="200"/>
        <w:rPr>
          <w:rFonts w:ascii="仿宋" w:hAnsi="仿宋" w:eastAsia="仿宋" w:cs="仿宋"/>
          <w:bCs/>
          <w:kern w:val="0"/>
          <w:sz w:val="24"/>
        </w:rPr>
      </w:pPr>
      <w:r>
        <w:rPr>
          <w:rFonts w:ascii="仿宋" w:hAnsi="仿宋" w:eastAsia="仿宋" w:cs="仿宋"/>
          <w:bCs/>
          <w:kern w:val="0"/>
          <w:sz w:val="24"/>
        </w:rPr>
        <w:t>3.1.</w:t>
      </w:r>
      <w:r>
        <w:rPr>
          <w:rFonts w:hint="eastAsia" w:ascii="仿宋" w:hAnsi="仿宋" w:eastAsia="仿宋" w:cs="仿宋"/>
          <w:bCs/>
          <w:kern w:val="0"/>
          <w:sz w:val="24"/>
        </w:rPr>
        <w:t>2当投标人数量多于</w:t>
      </w:r>
      <w:r>
        <w:rPr>
          <w:rFonts w:ascii="仿宋" w:hAnsi="仿宋" w:eastAsia="仿宋" w:cs="仿宋"/>
          <w:bCs/>
          <w:kern w:val="0"/>
          <w:sz w:val="24"/>
        </w:rPr>
        <w:t>5</w:t>
      </w:r>
      <w:r>
        <w:rPr>
          <w:rFonts w:hint="eastAsia" w:ascii="仿宋" w:hAnsi="仿宋" w:eastAsia="仿宋" w:cs="仿宋"/>
          <w:bCs/>
          <w:kern w:val="0"/>
          <w:sz w:val="24"/>
        </w:rPr>
        <w:t>家时，首先按投标报价从低到高进行排序，选取从低到高的前</w:t>
      </w:r>
      <w:r>
        <w:rPr>
          <w:rFonts w:ascii="仿宋" w:hAnsi="仿宋" w:eastAsia="仿宋" w:cs="仿宋"/>
          <w:bCs/>
          <w:kern w:val="0"/>
          <w:sz w:val="24"/>
        </w:rPr>
        <w:t>5</w:t>
      </w:r>
      <w:r>
        <w:rPr>
          <w:rFonts w:hint="eastAsia" w:ascii="仿宋" w:hAnsi="仿宋" w:eastAsia="仿宋" w:cs="仿宋"/>
          <w:bCs/>
          <w:kern w:val="0"/>
          <w:sz w:val="24"/>
        </w:rPr>
        <w:t>家投标人递交的投标文件进行评审；若有“否决投标”的，按照投标报价从低到高顺序依次递补，以保证进入评审的投标人数量满足</w:t>
      </w:r>
      <w:r>
        <w:rPr>
          <w:rFonts w:ascii="仿宋" w:hAnsi="仿宋" w:eastAsia="仿宋" w:cs="仿宋"/>
          <w:bCs/>
          <w:kern w:val="0"/>
          <w:sz w:val="24"/>
        </w:rPr>
        <w:t>5</w:t>
      </w:r>
      <w:r>
        <w:rPr>
          <w:rFonts w:hint="eastAsia" w:ascii="仿宋" w:hAnsi="仿宋" w:eastAsia="仿宋" w:cs="仿宋"/>
          <w:bCs/>
          <w:kern w:val="0"/>
          <w:sz w:val="24"/>
        </w:rPr>
        <w:t>家。</w:t>
      </w:r>
    </w:p>
    <w:p>
      <w:pPr>
        <w:tabs>
          <w:tab w:val="left" w:pos="6237"/>
        </w:tabs>
        <w:spacing w:line="360" w:lineRule="auto"/>
        <w:ind w:firstLine="480" w:firstLineChars="200"/>
        <w:rPr>
          <w:rFonts w:ascii="仿宋" w:hAnsi="仿宋" w:eastAsia="仿宋" w:cs="仿宋"/>
          <w:bCs/>
          <w:kern w:val="0"/>
          <w:sz w:val="24"/>
        </w:rPr>
      </w:pPr>
      <w:r>
        <w:rPr>
          <w:rFonts w:ascii="仿宋" w:hAnsi="仿宋" w:eastAsia="仿宋" w:cs="仿宋"/>
          <w:bCs/>
          <w:kern w:val="0"/>
          <w:sz w:val="24"/>
        </w:rPr>
        <w:t>3.1.</w:t>
      </w:r>
      <w:r>
        <w:rPr>
          <w:rFonts w:hint="eastAsia" w:ascii="仿宋" w:hAnsi="仿宋" w:eastAsia="仿宋" w:cs="仿宋"/>
          <w:bCs/>
          <w:kern w:val="0"/>
          <w:sz w:val="24"/>
        </w:rPr>
        <w:t>3对进入评审环节的</w:t>
      </w:r>
      <w:r>
        <w:rPr>
          <w:rFonts w:ascii="仿宋" w:hAnsi="仿宋" w:eastAsia="仿宋" w:cs="仿宋"/>
          <w:bCs/>
          <w:kern w:val="0"/>
          <w:sz w:val="24"/>
        </w:rPr>
        <w:t>5</w:t>
      </w:r>
      <w:r>
        <w:rPr>
          <w:rFonts w:hint="eastAsia" w:ascii="仿宋" w:hAnsi="仿宋" w:eastAsia="仿宋" w:cs="仿宋"/>
          <w:bCs/>
          <w:kern w:val="0"/>
          <w:sz w:val="24"/>
        </w:rPr>
        <w:t>家投标人递交的投标文件，按照经修正后的评标价进行评审。</w:t>
      </w:r>
    </w:p>
    <w:p>
      <w:pPr>
        <w:spacing w:line="360" w:lineRule="auto"/>
        <w:ind w:firstLine="480" w:firstLineChars="200"/>
        <w:rPr>
          <w:rFonts w:ascii="仿宋" w:hAnsi="仿宋" w:eastAsia="仿宋" w:cs="宋体"/>
          <w:kern w:val="0"/>
          <w:sz w:val="24"/>
        </w:rPr>
      </w:pPr>
      <w:r>
        <w:rPr>
          <w:rFonts w:ascii="仿宋" w:hAnsi="仿宋" w:eastAsia="仿宋" w:cs="仿宋"/>
          <w:bCs/>
          <w:kern w:val="0"/>
          <w:sz w:val="24"/>
        </w:rPr>
        <w:t>3.1.</w:t>
      </w:r>
      <w:r>
        <w:rPr>
          <w:rFonts w:hint="eastAsia" w:ascii="仿宋" w:hAnsi="仿宋" w:eastAsia="仿宋" w:cs="仿宋"/>
          <w:bCs/>
          <w:kern w:val="0"/>
          <w:sz w:val="24"/>
        </w:rPr>
        <w:t>4未进入评审环节的投标人，不再进行详细评审。</w:t>
      </w:r>
    </w:p>
    <w:p>
      <w:pPr>
        <w:spacing w:line="360" w:lineRule="auto"/>
        <w:rPr>
          <w:rFonts w:ascii="仿宋" w:hAnsi="仿宋" w:eastAsia="仿宋" w:cs="宋体"/>
          <w:kern w:val="0"/>
          <w:sz w:val="24"/>
        </w:rPr>
      </w:pPr>
      <w:r>
        <w:rPr>
          <w:rFonts w:hint="eastAsia" w:ascii="仿宋" w:hAnsi="仿宋" w:eastAsia="仿宋" w:cs="宋体"/>
          <w:bCs/>
          <w:kern w:val="0"/>
          <w:sz w:val="24"/>
        </w:rPr>
        <w:t>3</w:t>
      </w:r>
      <w:r>
        <w:rPr>
          <w:rFonts w:ascii="仿宋" w:hAnsi="仿宋" w:eastAsia="仿宋" w:cs="宋体"/>
          <w:bCs/>
          <w:kern w:val="0"/>
          <w:sz w:val="24"/>
        </w:rPr>
        <w:t>.2</w:t>
      </w:r>
      <w:r>
        <w:rPr>
          <w:rFonts w:hint="eastAsia" w:ascii="仿宋" w:hAnsi="仿宋" w:eastAsia="仿宋" w:cs="宋体"/>
          <w:bCs/>
          <w:kern w:val="0"/>
          <w:sz w:val="24"/>
        </w:rPr>
        <w:t>评标原则</w:t>
      </w:r>
    </w:p>
    <w:p>
      <w:pPr>
        <w:spacing w:line="360" w:lineRule="auto"/>
        <w:ind w:firstLine="480" w:firstLineChars="200"/>
        <w:rPr>
          <w:rFonts w:ascii="仿宋" w:hAnsi="仿宋" w:eastAsia="仿宋" w:cs="宋体"/>
          <w:kern w:val="0"/>
          <w:sz w:val="24"/>
        </w:rPr>
      </w:pPr>
      <w:r>
        <w:rPr>
          <w:rFonts w:hint="eastAsia" w:ascii="仿宋" w:hAnsi="仿宋" w:eastAsia="仿宋" w:cs="宋体"/>
          <w:bCs/>
          <w:kern w:val="0"/>
          <w:sz w:val="24"/>
        </w:rPr>
        <w:t>评标遵循公平、公正、科学、择优的原则。</w:t>
      </w:r>
    </w:p>
    <w:p>
      <w:pPr>
        <w:spacing w:line="360" w:lineRule="auto"/>
        <w:rPr>
          <w:rFonts w:ascii="仿宋" w:hAnsi="仿宋" w:eastAsia="仿宋" w:cs="宋体"/>
          <w:kern w:val="0"/>
          <w:sz w:val="24"/>
        </w:rPr>
      </w:pPr>
      <w:r>
        <w:rPr>
          <w:rFonts w:ascii="仿宋" w:hAnsi="仿宋" w:eastAsia="仿宋" w:cs="宋体"/>
          <w:bCs/>
          <w:kern w:val="0"/>
          <w:sz w:val="24"/>
        </w:rPr>
        <w:t>3.3</w:t>
      </w:r>
      <w:r>
        <w:rPr>
          <w:rFonts w:hint="eastAsia" w:ascii="仿宋" w:hAnsi="仿宋" w:eastAsia="仿宋" w:cs="宋体"/>
          <w:bCs/>
          <w:kern w:val="0"/>
          <w:sz w:val="24"/>
        </w:rPr>
        <w:t>评标组织及服务</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1为做好评标工作，成立评标委员会和工作小组。</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2评标委员会</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2.1评标委员会由招标人依法组建，评标委员会成员由招标人代表及熟悉相关业务的有关技术、经济等方面的专家组成。</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2.2评标委员会成员为5人及以上单数。</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2.3评标工作由评标委员会负责。</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w:t>
      </w:r>
      <w:r>
        <w:rPr>
          <w:rFonts w:hint="eastAsia" w:ascii="仿宋" w:hAnsi="仿宋" w:eastAsia="仿宋" w:cs="宋体"/>
          <w:bCs/>
          <w:kern w:val="0"/>
          <w:sz w:val="24"/>
        </w:rPr>
        <w:t>3</w:t>
      </w:r>
      <w:r>
        <w:rPr>
          <w:rFonts w:ascii="仿宋" w:hAnsi="仿宋" w:eastAsia="仿宋" w:cs="宋体"/>
          <w:bCs/>
          <w:kern w:val="0"/>
          <w:sz w:val="24"/>
        </w:rPr>
        <w:t>.3</w:t>
      </w:r>
      <w:r>
        <w:rPr>
          <w:rFonts w:hint="eastAsia" w:ascii="仿宋" w:hAnsi="仿宋" w:eastAsia="仿宋" w:cs="宋体"/>
          <w:bCs/>
          <w:kern w:val="0"/>
          <w:sz w:val="24"/>
        </w:rPr>
        <w:t>工作小组</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3.1由招标人代表组成工作小组，在评标期间为评标委员会服务。</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3.3.</w:t>
      </w:r>
      <w:r>
        <w:rPr>
          <w:rFonts w:hint="eastAsia" w:ascii="仿宋" w:hAnsi="仿宋" w:eastAsia="仿宋" w:cs="宋体"/>
          <w:bCs/>
          <w:kern w:val="0"/>
          <w:sz w:val="24"/>
        </w:rPr>
        <w:t>3.2接受评标委员会指派进行基础数据摘录汇总、对比等工作。</w:t>
      </w:r>
    </w:p>
    <w:p>
      <w:pPr>
        <w:spacing w:line="360" w:lineRule="auto"/>
        <w:rPr>
          <w:rFonts w:ascii="仿宋" w:hAnsi="仿宋" w:eastAsia="仿宋" w:cs="宋体"/>
          <w:kern w:val="0"/>
          <w:sz w:val="24"/>
        </w:rPr>
      </w:pPr>
      <w:r>
        <w:rPr>
          <w:rFonts w:hint="eastAsia" w:ascii="仿宋" w:hAnsi="仿宋" w:eastAsia="仿宋" w:cs="宋体"/>
          <w:bCs/>
          <w:kern w:val="0"/>
          <w:sz w:val="24"/>
        </w:rPr>
        <w:t>3</w:t>
      </w:r>
      <w:r>
        <w:rPr>
          <w:rFonts w:ascii="仿宋" w:hAnsi="仿宋" w:eastAsia="仿宋" w:cs="宋体"/>
          <w:bCs/>
          <w:kern w:val="0"/>
          <w:sz w:val="24"/>
        </w:rPr>
        <w:t>.4</w:t>
      </w:r>
      <w:r>
        <w:rPr>
          <w:rFonts w:hint="eastAsia" w:ascii="仿宋" w:hAnsi="仿宋" w:eastAsia="仿宋" w:cs="宋体"/>
          <w:bCs/>
          <w:kern w:val="0"/>
          <w:sz w:val="24"/>
        </w:rPr>
        <w:t>评标程序及内容</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1投标文件初步评审</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1.1投标资格审查---投标人的财务、服务能力、</w:t>
      </w:r>
      <w:r>
        <w:rPr>
          <w:rFonts w:ascii="仿宋" w:hAnsi="仿宋" w:eastAsia="仿宋" w:cs="宋体"/>
          <w:bCs/>
          <w:kern w:val="0"/>
          <w:sz w:val="24"/>
        </w:rPr>
        <w:t>业绩</w:t>
      </w:r>
      <w:r>
        <w:rPr>
          <w:rFonts w:hint="eastAsia" w:ascii="仿宋" w:hAnsi="仿宋" w:eastAsia="仿宋" w:cs="宋体"/>
          <w:bCs/>
          <w:kern w:val="0"/>
          <w:sz w:val="24"/>
        </w:rPr>
        <w:t>等方面是否满足投标资格的全部要求。</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1.2算术错误修正</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1.2.1报价清单中有计算或汇总中的算术错误时，按以下原则修正：</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w:t>
      </w:r>
      <w:r>
        <w:rPr>
          <w:rFonts w:ascii="仿宋" w:hAnsi="仿宋" w:eastAsia="仿宋" w:cs="宋体"/>
          <w:bCs/>
          <w:kern w:val="0"/>
          <w:sz w:val="24"/>
        </w:rPr>
        <w:t>1）</w:t>
      </w:r>
      <w:r>
        <w:rPr>
          <w:rFonts w:hint="eastAsia" w:ascii="仿宋" w:hAnsi="仿宋" w:eastAsia="仿宋" w:cs="宋体"/>
          <w:bCs/>
          <w:kern w:val="0"/>
          <w:sz w:val="24"/>
        </w:rPr>
        <w:t>报价清单中的单价乘数量的乘积与该项目的合价不符时，应以单价为准，改正合价。</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（2）若投标报价汇总表中的金额与相应的各分项报价清单中的合计金额不符时，应以修正算术错误后的各分项报价清单中的合计金额为准，改正投标报价汇总表中相应部分的金额和投标总报价。</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1.2.2评标委员会按以上原则对投标报价进行修正，修正的价格经投标人书面确认后具有约束力。</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1.3投标文件符合性审查---对投标文件进行审查，有以下情形之一的，为重大偏差，其投标文件符合性审查不通过</w:t>
      </w:r>
      <w:r>
        <w:rPr>
          <w:rFonts w:hint="eastAsia" w:ascii="仿宋" w:hAnsi="仿宋" w:eastAsia="仿宋"/>
          <w:sz w:val="24"/>
        </w:rPr>
        <w:t>作“否决</w:t>
      </w:r>
      <w:r>
        <w:rPr>
          <w:rFonts w:ascii="仿宋" w:hAnsi="仿宋" w:eastAsia="仿宋"/>
          <w:sz w:val="24"/>
        </w:rPr>
        <w:t>投标”</w:t>
      </w:r>
      <w:r>
        <w:rPr>
          <w:rFonts w:hint="eastAsia" w:ascii="仿宋" w:hAnsi="仿宋" w:eastAsia="仿宋"/>
          <w:sz w:val="24"/>
        </w:rPr>
        <w:t>处理</w:t>
      </w:r>
      <w:r>
        <w:rPr>
          <w:rFonts w:hint="eastAsia" w:ascii="仿宋" w:hAnsi="仿宋" w:eastAsia="仿宋" w:cs="宋体"/>
          <w:bCs/>
          <w:kern w:val="0"/>
          <w:sz w:val="24"/>
        </w:rPr>
        <w:t>，不再进行详细评审：</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w:t>
      </w:r>
      <w:r>
        <w:rPr>
          <w:rFonts w:ascii="仿宋" w:hAnsi="仿宋" w:eastAsia="仿宋" w:cs="宋体"/>
          <w:bCs/>
          <w:kern w:val="0"/>
          <w:sz w:val="24"/>
        </w:rPr>
        <w:t>1）投标人提供的资格审查资料不满足</w:t>
      </w:r>
      <w:r>
        <w:rPr>
          <w:rFonts w:hint="eastAsia" w:ascii="仿宋" w:hAnsi="仿宋" w:eastAsia="仿宋" w:cs="宋体"/>
          <w:bCs/>
          <w:kern w:val="0"/>
          <w:sz w:val="24"/>
        </w:rPr>
        <w:t>招标文件</w:t>
      </w:r>
      <w:r>
        <w:rPr>
          <w:rFonts w:ascii="仿宋" w:hAnsi="仿宋" w:eastAsia="仿宋" w:cs="宋体"/>
          <w:bCs/>
          <w:kern w:val="0"/>
          <w:sz w:val="24"/>
        </w:rPr>
        <w:t>要求的；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（2）没有按照招标文件要求提供投标担保或者所提供的投标担保有瑕疵不被招标人所接受的；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（3）投标文件未按招标文件要求盖章和签署的；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（4）经澄清，对投标报价的算术错误不接受修正的；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（5）投标报价低于成本或高于招标文件设定的最高限价的（如有）；</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（6）对招标范围和工作内容有实质性偏差的；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（7）对合同中规定的双方权利和义务作实质性修改的；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（8）投标文件载明的服务标准和方法等不符合招标文件要求的；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（9）投标人资质业绩达不到招标文件要求的；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（10）纠正投标文件偏差或保留将会对招标竞争产生不公正影响的；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（11）投标总价经修正后累计偏差超过20%的；</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（12）有违反法律法规、弄虚作假的。</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1.4投标人不能修正或撤销投标文件重大偏差。招标人允许投标文件有微小的不正规、不一致或不规则，而该微小之处不构成重大偏差。</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2投标文件澄清</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2.1投标文件中有含义不明确的内容、明显文字或者计算错误及投标报价水平等，评标委员会认为需要投标人做出必要的澄清、说明、成本价佐证、或者对细微偏差进行补正的，提出澄清问题。</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2.2评标委员会的澄清问题不得要求或提出对投标文件实质性内容进行修改，澄清问题由招标负责人确认后发出。</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2.3投标人的答复由其授权代表签字、加盖公章、签署日期后按要求发送，不得对原投标文件实质性内容进行修改，投标人的书面澄清、说明和补正属于投标文件的组成部分。</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2.4评标委员会不接受投标人主动提出的澄清、说明。</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2.5评标委员会的澄清问题和投标人的答复均以书面方式进行。</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3投标文件详细评审</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3.1评标委员会成员对通过初步评审的投标文件进行详细评审并对商务部分、技术部分独立打分，投标人商务部分、技术部分得分为评标委员会成员评分的算术平均值。专家打分保留一位小数，专家打分的算术平均值保留二位小数。</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3.2评标价</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3.2.1评标价仅作为计算投标报价得分依据。</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3.2.2评标价计算公式</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评标价=投标报价+算术错误修正+遗漏重复修正+功能缺失修正（若有）</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3.2.3遗漏重复修正</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审核投标报价组成内容是否有遗漏或重复计算。若有遗漏，遗漏部分按照其他投标报价组成中此部份价格的最高金额进行加价。若有重复计算，重复计算部分金额予以核减。</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3.2.4功能缺失修正（若有）</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根据招标文件的技术要求对投标文件进行检查，若功能缺失或非主要指标（指没有打“*”的）不达标，每一项增加投标报价的0.5%。</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3.3评审、评分及排序</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3.3.1评审内容及分值</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根据报价、商务和技术三部分进行评审打分。报价部分满分为100分，权重为7</w:t>
      </w:r>
      <w:r>
        <w:rPr>
          <w:rFonts w:ascii="仿宋" w:hAnsi="仿宋" w:eastAsia="仿宋" w:cs="仿宋"/>
          <w:kern w:val="0"/>
          <w:sz w:val="24"/>
        </w:rPr>
        <w:t>0</w:t>
      </w:r>
      <w:r>
        <w:rPr>
          <w:rFonts w:hint="eastAsia" w:ascii="仿宋" w:hAnsi="仿宋" w:eastAsia="仿宋" w:cs="仿宋"/>
          <w:kern w:val="0"/>
          <w:sz w:val="24"/>
        </w:rPr>
        <w:t>%；商务部分满分为100分，权重为</w:t>
      </w:r>
      <w:r>
        <w:rPr>
          <w:rFonts w:ascii="仿宋" w:hAnsi="仿宋" w:eastAsia="仿宋" w:cs="仿宋"/>
          <w:kern w:val="0"/>
          <w:sz w:val="24"/>
        </w:rPr>
        <w:t>1</w:t>
      </w:r>
      <w:r>
        <w:rPr>
          <w:rFonts w:hint="eastAsia" w:ascii="仿宋" w:hAnsi="仿宋" w:eastAsia="仿宋" w:cs="仿宋"/>
          <w:kern w:val="0"/>
          <w:sz w:val="24"/>
        </w:rPr>
        <w:t>0%；技术部分满分为100分，权重为20%。</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投标人最终得分=报价部分得分*</w:t>
      </w:r>
      <w:r>
        <w:rPr>
          <w:rFonts w:ascii="仿宋" w:hAnsi="仿宋" w:eastAsia="仿宋" w:cs="仿宋"/>
          <w:kern w:val="0"/>
          <w:sz w:val="24"/>
        </w:rPr>
        <w:t>7</w:t>
      </w:r>
      <w:r>
        <w:rPr>
          <w:rFonts w:hint="eastAsia" w:ascii="仿宋" w:hAnsi="仿宋" w:eastAsia="仿宋" w:cs="仿宋"/>
          <w:kern w:val="0"/>
          <w:sz w:val="24"/>
        </w:rPr>
        <w:t>0%+商务部分得分*</w:t>
      </w:r>
      <w:r>
        <w:rPr>
          <w:rFonts w:ascii="仿宋" w:hAnsi="仿宋" w:eastAsia="仿宋" w:cs="仿宋"/>
          <w:kern w:val="0"/>
          <w:sz w:val="24"/>
        </w:rPr>
        <w:t>1</w:t>
      </w:r>
      <w:r>
        <w:rPr>
          <w:rFonts w:hint="eastAsia" w:ascii="仿宋" w:hAnsi="仿宋" w:eastAsia="仿宋" w:cs="仿宋"/>
          <w:kern w:val="0"/>
          <w:sz w:val="24"/>
        </w:rPr>
        <w:t>0%+技术部分得分*</w:t>
      </w:r>
      <w:r>
        <w:rPr>
          <w:rFonts w:ascii="仿宋" w:hAnsi="仿宋" w:eastAsia="仿宋" w:cs="仿宋"/>
          <w:kern w:val="0"/>
          <w:sz w:val="24"/>
        </w:rPr>
        <w:t>2</w:t>
      </w:r>
      <w:r>
        <w:rPr>
          <w:rFonts w:hint="eastAsia" w:ascii="仿宋" w:hAnsi="仿宋" w:eastAsia="仿宋" w:cs="仿宋"/>
          <w:kern w:val="0"/>
          <w:sz w:val="24"/>
        </w:rPr>
        <w:t>0%。</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3.3.2报价部分评审（细则详见表1）</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按评标价计算报价得分，偏差及报价计算得分保留二位小数。</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3.3.3商务部分评审（细则详见表2）</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按商务部分评分细则进行评审。</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3.4.</w:t>
      </w:r>
      <w:r>
        <w:rPr>
          <w:rFonts w:hint="eastAsia" w:ascii="仿宋" w:hAnsi="仿宋" w:eastAsia="仿宋" w:cs="宋体"/>
          <w:bCs/>
          <w:kern w:val="0"/>
          <w:sz w:val="24"/>
        </w:rPr>
        <w:t>3.3.4技术部分评审（细则详见表3）</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按技术部分评分细则进行评审。</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3</w:t>
      </w:r>
      <w:r>
        <w:rPr>
          <w:rFonts w:ascii="仿宋" w:hAnsi="仿宋" w:eastAsia="仿宋" w:cs="宋体"/>
          <w:bCs/>
          <w:kern w:val="0"/>
          <w:sz w:val="24"/>
        </w:rPr>
        <w:t>.5</w:t>
      </w:r>
      <w:r>
        <w:rPr>
          <w:rFonts w:hint="eastAsia" w:ascii="仿宋" w:hAnsi="仿宋" w:eastAsia="仿宋" w:cs="宋体"/>
          <w:bCs/>
          <w:kern w:val="0"/>
          <w:sz w:val="24"/>
        </w:rPr>
        <w:t>评标报告</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3.5.</w:t>
      </w:r>
      <w:r>
        <w:rPr>
          <w:rFonts w:hint="eastAsia" w:ascii="仿宋" w:hAnsi="仿宋" w:eastAsia="仿宋" w:cs="宋体"/>
          <w:bCs/>
          <w:kern w:val="0"/>
          <w:sz w:val="24"/>
        </w:rPr>
        <w:t>1评标委员会根据评标情况和结果，向招标人提交评标报告。评标报告由评标委员会起草，评标委员会全体成员应在评标报告上签字确认，评标专家如有保留意见可以在评标报告中阐明。</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3.5.</w:t>
      </w:r>
      <w:r>
        <w:rPr>
          <w:rFonts w:hint="eastAsia" w:ascii="仿宋" w:hAnsi="仿宋" w:eastAsia="仿宋" w:cs="宋体"/>
          <w:bCs/>
          <w:kern w:val="0"/>
          <w:sz w:val="24"/>
        </w:rPr>
        <w:t>2评标委员会在评标报告中根据得分排序推荐前一至三名为中标候选人。得分相同时，报价低者优先。得分相同、报价相同时，以技术得分高者优者。</w:t>
      </w:r>
    </w:p>
    <w:p>
      <w:pPr>
        <w:spacing w:line="360" w:lineRule="auto"/>
        <w:ind w:firstLine="480" w:firstLineChars="200"/>
        <w:rPr>
          <w:rFonts w:ascii="仿宋" w:hAnsi="仿宋" w:eastAsia="仿宋" w:cs="宋体"/>
          <w:bCs/>
          <w:kern w:val="0"/>
          <w:sz w:val="24"/>
        </w:rPr>
      </w:pPr>
      <w:r>
        <w:rPr>
          <w:rFonts w:ascii="仿宋" w:hAnsi="仿宋" w:eastAsia="仿宋" w:cs="宋体"/>
          <w:bCs/>
          <w:kern w:val="0"/>
          <w:sz w:val="24"/>
        </w:rPr>
        <w:t>3.5.</w:t>
      </w:r>
      <w:r>
        <w:rPr>
          <w:rFonts w:hint="eastAsia" w:ascii="仿宋" w:hAnsi="仿宋" w:eastAsia="仿宋" w:cs="宋体"/>
          <w:bCs/>
          <w:kern w:val="0"/>
          <w:sz w:val="24"/>
        </w:rPr>
        <w:t>3评标报告应包括以下内容：</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（1）开标记录表</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（2）初步评审过程和结果</w:t>
      </w:r>
    </w:p>
    <w:p>
      <w:pPr>
        <w:spacing w:line="360" w:lineRule="auto"/>
        <w:ind w:firstLine="1080" w:firstLineChars="450"/>
        <w:rPr>
          <w:rFonts w:ascii="仿宋" w:hAnsi="仿宋" w:eastAsia="仿宋" w:cs="宋体"/>
          <w:bCs/>
          <w:kern w:val="0"/>
          <w:sz w:val="24"/>
        </w:rPr>
      </w:pPr>
      <w:r>
        <w:rPr>
          <w:rFonts w:hint="eastAsia" w:ascii="仿宋" w:hAnsi="仿宋" w:eastAsia="仿宋" w:cs="宋体"/>
          <w:bCs/>
          <w:kern w:val="0"/>
          <w:sz w:val="24"/>
        </w:rPr>
        <w:t>包括资格审查、算术错误检查、符合性审查、澄清问题及答复，若有“否决投标”应对其情况和依据进行说明；</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（3）详细评审过程和结果</w:t>
      </w:r>
    </w:p>
    <w:p>
      <w:pPr>
        <w:spacing w:line="360" w:lineRule="auto"/>
        <w:ind w:firstLine="1080" w:firstLineChars="450"/>
        <w:rPr>
          <w:rFonts w:ascii="仿宋" w:hAnsi="仿宋" w:eastAsia="仿宋" w:cs="宋体"/>
          <w:bCs/>
          <w:kern w:val="0"/>
          <w:sz w:val="24"/>
        </w:rPr>
      </w:pPr>
      <w:r>
        <w:rPr>
          <w:rFonts w:hint="eastAsia" w:ascii="仿宋" w:hAnsi="仿宋" w:eastAsia="仿宋" w:cs="宋体"/>
          <w:bCs/>
          <w:kern w:val="0"/>
          <w:sz w:val="24"/>
        </w:rPr>
        <w:t>包括评标价计算、报价部分评分计算，商务部分、技术部分评审打分，汇总排序；</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（4）推荐中标候选人；</w:t>
      </w:r>
    </w:p>
    <w:p>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（5）中标候选人的优劣对比和存在问题。</w:t>
      </w:r>
    </w:p>
    <w:p>
      <w:pPr>
        <w:spacing w:line="400" w:lineRule="exact"/>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pacing w:line="400" w:lineRule="exact"/>
        <w:jc w:val="left"/>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1：</w:t>
      </w:r>
    </w:p>
    <w:p>
      <w:pPr>
        <w:spacing w:line="400" w:lineRule="exact"/>
        <w:jc w:val="center"/>
        <w:rPr>
          <w:rFonts w:ascii="仿宋" w:hAnsi="仿宋" w:eastAsia="仿宋"/>
          <w:b/>
          <w:bCs/>
          <w:sz w:val="30"/>
          <w:szCs w:val="30"/>
        </w:rPr>
      </w:pPr>
      <w:r>
        <w:rPr>
          <w:rFonts w:hint="eastAsia" w:ascii="仿宋" w:hAnsi="仿宋" w:eastAsia="仿宋"/>
          <w:sz w:val="30"/>
          <w:szCs w:val="30"/>
        </w:rPr>
        <w:t>报价部分评审细则（</w:t>
      </w:r>
      <w:bookmarkStart w:id="345" w:name="_Hlk80371697"/>
      <w:r>
        <w:rPr>
          <w:rFonts w:hint="eastAsia" w:ascii="仿宋" w:hAnsi="仿宋" w:eastAsia="仿宋"/>
          <w:b/>
          <w:bCs/>
          <w:sz w:val="30"/>
          <w:szCs w:val="30"/>
        </w:rPr>
        <w:t>权重70%</w:t>
      </w:r>
      <w:bookmarkEnd w:id="345"/>
      <w:r>
        <w:rPr>
          <w:rFonts w:ascii="仿宋" w:hAnsi="仿宋" w:eastAsia="仿宋"/>
          <w:sz w:val="30"/>
          <w:szCs w:val="30"/>
        </w:rPr>
        <w:t>）</w:t>
      </w:r>
    </w:p>
    <w:tbl>
      <w:tblPr>
        <w:tblStyle w:val="3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6"/>
        <w:gridCol w:w="113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评定项目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分数</w:t>
            </w:r>
          </w:p>
        </w:tc>
        <w:tc>
          <w:tcPr>
            <w:tcW w:w="5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评标价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58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一、评标基准价确定：</w:t>
            </w:r>
          </w:p>
          <w:p>
            <w:pPr>
              <w:ind w:firstLine="480" w:firstLineChars="200"/>
              <w:rPr>
                <w:rFonts w:ascii="仿宋" w:hAnsi="仿宋" w:eastAsia="仿宋"/>
                <w:sz w:val="24"/>
              </w:rPr>
            </w:pPr>
            <w:r>
              <w:rPr>
                <w:rFonts w:hint="eastAsia" w:ascii="仿宋" w:hAnsi="仿宋" w:eastAsia="仿宋"/>
                <w:sz w:val="24"/>
              </w:rPr>
              <w:t>本标段所有投标价，去掉最高值和最低值后为有效评标价，取有效评标价算术平均值作为评标基准价。</w:t>
            </w:r>
          </w:p>
          <w:p>
            <w:pPr>
              <w:ind w:firstLine="480" w:firstLineChars="200"/>
              <w:rPr>
                <w:rFonts w:ascii="仿宋" w:hAnsi="仿宋" w:eastAsia="仿宋"/>
                <w:sz w:val="24"/>
              </w:rPr>
            </w:pPr>
            <w:r>
              <w:rPr>
                <w:rFonts w:hint="eastAsia" w:ascii="仿宋" w:hAnsi="仿宋" w:eastAsia="仿宋"/>
                <w:sz w:val="24"/>
              </w:rPr>
              <w:t>评标基准价=有效评标价的算术平均值。</w:t>
            </w:r>
          </w:p>
          <w:p>
            <w:pPr>
              <w:rPr>
                <w:rFonts w:ascii="仿宋" w:hAnsi="仿宋" w:eastAsia="仿宋"/>
                <w:sz w:val="24"/>
              </w:rPr>
            </w:pPr>
            <w:r>
              <w:rPr>
                <w:rFonts w:hint="eastAsia" w:ascii="仿宋" w:hAnsi="仿宋" w:eastAsia="仿宋"/>
                <w:sz w:val="24"/>
              </w:rPr>
              <w:t>二、得分：</w:t>
            </w:r>
          </w:p>
          <w:p>
            <w:pPr>
              <w:rPr>
                <w:rFonts w:ascii="仿宋" w:hAnsi="仿宋" w:eastAsia="仿宋"/>
                <w:sz w:val="24"/>
              </w:rPr>
            </w:pPr>
            <w:r>
              <w:rPr>
                <w:rFonts w:hint="eastAsia" w:ascii="仿宋" w:hAnsi="仿宋" w:eastAsia="仿宋"/>
                <w:sz w:val="24"/>
              </w:rPr>
              <w:t>1、评标价等于评标基准价的，得满分。</w:t>
            </w:r>
          </w:p>
          <w:p>
            <w:pPr>
              <w:rPr>
                <w:rFonts w:ascii="仿宋" w:hAnsi="仿宋" w:eastAsia="仿宋"/>
                <w:sz w:val="24"/>
              </w:rPr>
            </w:pPr>
            <w:r>
              <w:rPr>
                <w:rFonts w:hint="eastAsia" w:ascii="仿宋" w:hAnsi="仿宋" w:eastAsia="仿宋"/>
                <w:sz w:val="24"/>
              </w:rPr>
              <w:t>2、高于评标基准价的，每高1%扣</w:t>
            </w:r>
            <w:r>
              <w:rPr>
                <w:rFonts w:ascii="仿宋" w:hAnsi="仿宋" w:eastAsia="仿宋"/>
                <w:sz w:val="24"/>
              </w:rPr>
              <w:t>2</w:t>
            </w:r>
            <w:r>
              <w:rPr>
                <w:rFonts w:hint="eastAsia" w:ascii="仿宋" w:hAnsi="仿宋" w:eastAsia="仿宋"/>
                <w:sz w:val="24"/>
              </w:rPr>
              <w:t xml:space="preserve">分； </w:t>
            </w:r>
          </w:p>
          <w:p>
            <w:pPr>
              <w:rPr>
                <w:rFonts w:ascii="仿宋" w:hAnsi="仿宋" w:eastAsia="仿宋"/>
                <w:sz w:val="24"/>
              </w:rPr>
            </w:pPr>
            <w:r>
              <w:rPr>
                <w:rFonts w:hint="eastAsia" w:ascii="仿宋" w:hAnsi="仿宋" w:eastAsia="仿宋"/>
                <w:sz w:val="24"/>
              </w:rPr>
              <w:t>3、低于评标基准价</w:t>
            </w:r>
            <w:r>
              <w:rPr>
                <w:rFonts w:ascii="仿宋" w:hAnsi="仿宋" w:eastAsia="仿宋"/>
                <w:sz w:val="24"/>
              </w:rPr>
              <w:t>5</w:t>
            </w:r>
            <w:r>
              <w:rPr>
                <w:rFonts w:hint="eastAsia" w:ascii="仿宋" w:hAnsi="仿宋" w:eastAsia="仿宋"/>
                <w:sz w:val="24"/>
              </w:rPr>
              <w:t>%以内（含</w:t>
            </w:r>
            <w:r>
              <w:rPr>
                <w:rFonts w:ascii="仿宋" w:hAnsi="仿宋" w:eastAsia="仿宋"/>
                <w:sz w:val="24"/>
              </w:rPr>
              <w:t>5</w:t>
            </w:r>
            <w:r>
              <w:rPr>
                <w:rFonts w:hint="eastAsia" w:ascii="仿宋" w:hAnsi="仿宋" w:eastAsia="仿宋"/>
                <w:sz w:val="24"/>
              </w:rPr>
              <w:t>%）的，不扣分；低于评标基准价</w:t>
            </w:r>
            <w:r>
              <w:rPr>
                <w:rFonts w:ascii="仿宋" w:hAnsi="仿宋" w:eastAsia="仿宋"/>
                <w:sz w:val="24"/>
              </w:rPr>
              <w:t>5</w:t>
            </w:r>
            <w:r>
              <w:rPr>
                <w:rFonts w:hint="eastAsia" w:ascii="仿宋" w:hAnsi="仿宋" w:eastAsia="仿宋"/>
                <w:sz w:val="24"/>
              </w:rPr>
              <w:t>%以上的部分，每低1%扣0.5分。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4"/>
              </w:rPr>
            </w:pPr>
            <w:r>
              <w:rPr>
                <w:rFonts w:hint="eastAsia" w:ascii="仿宋" w:hAnsi="仿宋" w:eastAsia="仿宋" w:cs="仿宋"/>
                <w:bCs/>
                <w:sz w:val="24"/>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4"/>
              </w:rPr>
            </w:pPr>
            <w:r>
              <w:rPr>
                <w:rFonts w:hint="eastAsia" w:ascii="仿宋" w:hAnsi="仿宋" w:eastAsia="仿宋" w:cs="仿宋"/>
                <w:bCs/>
                <w:sz w:val="24"/>
              </w:rPr>
              <w:t>100</w:t>
            </w:r>
          </w:p>
        </w:tc>
        <w:tc>
          <w:tcPr>
            <w:tcW w:w="5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sz w:val="24"/>
              </w:rPr>
            </w:pPr>
          </w:p>
        </w:tc>
      </w:tr>
    </w:tbl>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p>
      <w:pPr>
        <w:widowControl/>
        <w:jc w:val="left"/>
        <w:rPr>
          <w:rFonts w:ascii="仿宋" w:hAnsi="仿宋" w:eastAsia="仿宋" w:cs="宋体"/>
          <w:bCs/>
          <w:kern w:val="0"/>
          <w:sz w:val="24"/>
        </w:rPr>
      </w:pPr>
      <w:r>
        <w:rPr>
          <w:rFonts w:ascii="仿宋" w:hAnsi="仿宋" w:eastAsia="仿宋" w:cs="宋体"/>
          <w:bCs/>
          <w:kern w:val="0"/>
          <w:sz w:val="24"/>
        </w:rPr>
        <w:br w:type="page"/>
      </w:r>
    </w:p>
    <w:p>
      <w:pPr>
        <w:spacing w:line="400" w:lineRule="exact"/>
        <w:jc w:val="left"/>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2：</w:t>
      </w:r>
    </w:p>
    <w:p>
      <w:pPr>
        <w:spacing w:line="400" w:lineRule="exact"/>
        <w:jc w:val="center"/>
        <w:rPr>
          <w:rFonts w:ascii="仿宋" w:hAnsi="仿宋" w:eastAsia="仿宋"/>
          <w:sz w:val="30"/>
          <w:szCs w:val="30"/>
        </w:rPr>
      </w:pPr>
      <w:r>
        <w:rPr>
          <w:rFonts w:hint="eastAsia" w:ascii="仿宋" w:hAnsi="仿宋" w:eastAsia="仿宋"/>
          <w:sz w:val="30"/>
          <w:szCs w:val="30"/>
        </w:rPr>
        <w:t>商务部分评审细则（</w:t>
      </w:r>
      <w:r>
        <w:rPr>
          <w:rFonts w:hint="eastAsia" w:ascii="仿宋" w:hAnsi="仿宋" w:eastAsia="仿宋"/>
          <w:b/>
          <w:bCs/>
          <w:sz w:val="30"/>
          <w:szCs w:val="30"/>
        </w:rPr>
        <w:t>权重10%</w:t>
      </w:r>
      <w:r>
        <w:rPr>
          <w:rFonts w:ascii="仿宋" w:hAnsi="仿宋" w:eastAsia="仿宋"/>
          <w:sz w:val="30"/>
          <w:szCs w:val="30"/>
        </w:rPr>
        <w:t>）</w:t>
      </w:r>
    </w:p>
    <w:tbl>
      <w:tblPr>
        <w:tblStyle w:val="38"/>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19"/>
        <w:gridCol w:w="1908"/>
        <w:gridCol w:w="1031"/>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评定项目</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分数</w:t>
            </w:r>
          </w:p>
        </w:tc>
        <w:tc>
          <w:tcPr>
            <w:tcW w:w="3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一</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投标文件的响应性、符合完整性</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10</w:t>
            </w:r>
          </w:p>
        </w:tc>
        <w:tc>
          <w:tcPr>
            <w:tcW w:w="3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响应、完整得满分，有差异根据情况适当扣分，最高得</w:t>
            </w:r>
            <w:r>
              <w:rPr>
                <w:rFonts w:ascii="仿宋" w:hAnsi="仿宋" w:eastAsia="仿宋" w:cs="仿宋"/>
                <w:sz w:val="24"/>
              </w:rPr>
              <w:t>10</w:t>
            </w:r>
            <w:r>
              <w:rPr>
                <w:rFonts w:hint="eastAsia" w:ascii="仿宋" w:hAnsi="仿宋" w:eastAsia="仿宋" w:cs="仿宋"/>
                <w:sz w:val="24"/>
              </w:rPr>
              <w:t>分，最低得</w:t>
            </w:r>
            <w:r>
              <w:rPr>
                <w:rFonts w:ascii="仿宋" w:hAnsi="仿宋" w:eastAsia="仿宋" w:cs="仿宋"/>
                <w:sz w:val="24"/>
              </w:rPr>
              <w:t>2</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二</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对合同条款的响应情况</w:t>
            </w:r>
          </w:p>
        </w:tc>
        <w:tc>
          <w:tcPr>
            <w:tcW w:w="19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对交货期的响应</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10</w:t>
            </w:r>
          </w:p>
        </w:tc>
        <w:tc>
          <w:tcPr>
            <w:tcW w:w="3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满足招标文件要求的且交货期最短得</w:t>
            </w:r>
            <w:r>
              <w:rPr>
                <w:rFonts w:ascii="仿宋" w:hAnsi="仿宋" w:eastAsia="仿宋" w:cs="仿宋"/>
                <w:sz w:val="24"/>
              </w:rPr>
              <w:t>10</w:t>
            </w:r>
            <w:r>
              <w:rPr>
                <w:rFonts w:hint="eastAsia" w:ascii="仿宋" w:hAnsi="仿宋" w:eastAsia="仿宋" w:cs="仿宋"/>
                <w:sz w:val="24"/>
              </w:rPr>
              <w:t>分，按照交货期的长短评分，最低得</w:t>
            </w:r>
            <w:r>
              <w:rPr>
                <w:rFonts w:ascii="仿宋" w:hAnsi="仿宋" w:eastAsia="仿宋" w:cs="仿宋"/>
                <w:sz w:val="24"/>
              </w:rPr>
              <w:t>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对付款条件的响应</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3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有优惠条件最优得10分，响应付款条件得</w:t>
            </w:r>
            <w:r>
              <w:rPr>
                <w:rFonts w:ascii="仿宋" w:hAnsi="仿宋" w:eastAsia="仿宋" w:cs="仿宋"/>
                <w:sz w:val="24"/>
              </w:rPr>
              <w:t>8</w:t>
            </w:r>
            <w:r>
              <w:rPr>
                <w:rFonts w:hint="eastAsia" w:ascii="仿宋" w:hAnsi="仿宋" w:eastAsia="仿宋" w:cs="仿宋"/>
                <w:sz w:val="24"/>
              </w:rPr>
              <w:t>分，最低得</w:t>
            </w:r>
            <w:r>
              <w:rPr>
                <w:rFonts w:ascii="仿宋" w:hAnsi="仿宋" w:eastAsia="仿宋" w:cs="仿宋"/>
                <w:sz w:val="24"/>
              </w:rPr>
              <w:t>2</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对违约责任的响应</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5</w:t>
            </w:r>
          </w:p>
        </w:tc>
        <w:tc>
          <w:tcPr>
            <w:tcW w:w="3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响应得满分，不响应得0分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三</w:t>
            </w:r>
          </w:p>
        </w:tc>
        <w:tc>
          <w:tcPr>
            <w:tcW w:w="1419"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履约能力</w:t>
            </w:r>
          </w:p>
        </w:tc>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注册资金</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3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≥3000万得10分；</w:t>
            </w:r>
          </w:p>
          <w:p>
            <w:pPr>
              <w:spacing w:line="360" w:lineRule="auto"/>
              <w:rPr>
                <w:rFonts w:ascii="仿宋" w:hAnsi="仿宋" w:eastAsia="仿宋" w:cs="仿宋"/>
                <w:sz w:val="24"/>
              </w:rPr>
            </w:pPr>
            <w:r>
              <w:rPr>
                <w:rFonts w:hint="eastAsia" w:ascii="仿宋" w:hAnsi="仿宋" w:eastAsia="仿宋" w:cs="仿宋"/>
                <w:sz w:val="24"/>
              </w:rPr>
              <w:t>1000万≤注册资金3000万得7分；500万≤注册资金&lt;1000万得4分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419"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业绩</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15</w:t>
            </w:r>
          </w:p>
        </w:tc>
        <w:tc>
          <w:tcPr>
            <w:tcW w:w="3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sz w:val="24"/>
              </w:rPr>
              <w:t>与标的物相同或相近类型运输服务业绩满足招标文件要求的业绩得10分，每多一条加1分,最高15分；根据用户评价等情况评分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41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服务能力（20</w:t>
            </w:r>
            <w:r>
              <w:rPr>
                <w:rFonts w:ascii="仿宋" w:hAnsi="仿宋" w:eastAsia="仿宋" w:cs="仿宋"/>
                <w:sz w:val="24"/>
              </w:rPr>
              <w:t>22</w:t>
            </w:r>
            <w:r>
              <w:rPr>
                <w:rFonts w:hint="eastAsia" w:ascii="仿宋" w:hAnsi="仿宋" w:eastAsia="仿宋" w:cs="仿宋"/>
                <w:sz w:val="24"/>
              </w:rPr>
              <w:t>年运输营业收入）</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3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000万得10分</w:t>
            </w:r>
          </w:p>
          <w:p>
            <w:pPr>
              <w:rPr>
                <w:rFonts w:ascii="仿宋" w:hAnsi="仿宋" w:eastAsia="仿宋"/>
                <w:sz w:val="24"/>
              </w:rPr>
            </w:pPr>
            <w:r>
              <w:rPr>
                <w:rFonts w:ascii="仿宋" w:hAnsi="仿宋" w:eastAsia="仿宋"/>
                <w:sz w:val="24"/>
              </w:rPr>
              <w:t>1</w:t>
            </w:r>
            <w:r>
              <w:rPr>
                <w:rFonts w:hint="eastAsia" w:ascii="仿宋" w:hAnsi="仿宋" w:eastAsia="仿宋"/>
                <w:sz w:val="24"/>
              </w:rPr>
              <w:t>000万≤运输营业收入&lt;</w:t>
            </w:r>
            <w:r>
              <w:rPr>
                <w:rFonts w:ascii="仿宋" w:hAnsi="仿宋" w:eastAsia="仿宋"/>
                <w:sz w:val="24"/>
              </w:rPr>
              <w:t>2</w:t>
            </w:r>
            <w:r>
              <w:rPr>
                <w:rFonts w:hint="eastAsia" w:ascii="仿宋" w:hAnsi="仿宋" w:eastAsia="仿宋"/>
                <w:sz w:val="24"/>
              </w:rPr>
              <w:t>000万得7分</w:t>
            </w:r>
          </w:p>
          <w:p>
            <w:pPr>
              <w:rPr>
                <w:rFonts w:ascii="仿宋" w:hAnsi="仿宋" w:eastAsia="仿宋"/>
                <w:sz w:val="24"/>
              </w:rPr>
            </w:pPr>
            <w:r>
              <w:rPr>
                <w:rFonts w:ascii="仿宋" w:hAnsi="仿宋" w:eastAsia="仿宋"/>
                <w:sz w:val="24"/>
              </w:rPr>
              <w:t>500万≤运输营业收入&lt;1000万</w:t>
            </w:r>
            <w:r>
              <w:rPr>
                <w:rFonts w:hint="eastAsia" w:ascii="仿宋" w:hAnsi="仿宋" w:eastAsia="仿宋"/>
                <w:sz w:val="24"/>
              </w:rPr>
              <w:t>得4分</w:t>
            </w:r>
          </w:p>
          <w:p>
            <w:pPr>
              <w:rPr>
                <w:rFonts w:ascii="仿宋" w:hAnsi="仿宋" w:eastAsia="仿宋"/>
                <w:sz w:val="24"/>
              </w:rPr>
            </w:pPr>
            <w:r>
              <w:rPr>
                <w:rFonts w:hint="eastAsia" w:ascii="仿宋" w:hAnsi="仿宋" w:eastAsia="仿宋"/>
                <w:sz w:val="24"/>
              </w:rPr>
              <w:t>＜5</w:t>
            </w:r>
            <w:r>
              <w:rPr>
                <w:rFonts w:ascii="仿宋" w:hAnsi="仿宋" w:eastAsia="仿宋"/>
                <w:sz w:val="24"/>
              </w:rPr>
              <w:t>00万</w:t>
            </w:r>
            <w:r>
              <w:rPr>
                <w:rFonts w:hint="eastAsia" w:ascii="仿宋" w:hAnsi="仿宋" w:eastAsia="仿宋"/>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四</w:t>
            </w:r>
          </w:p>
        </w:tc>
        <w:tc>
          <w:tcPr>
            <w:tcW w:w="1419"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服务</w:t>
            </w:r>
          </w:p>
        </w:tc>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电线电缆合作客户</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15</w:t>
            </w:r>
          </w:p>
        </w:tc>
        <w:tc>
          <w:tcPr>
            <w:tcW w:w="393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≥3家得15分</w:t>
            </w:r>
          </w:p>
          <w:p>
            <w:pPr>
              <w:spacing w:line="360" w:lineRule="auto"/>
              <w:rPr>
                <w:rFonts w:ascii="仿宋" w:hAnsi="仿宋" w:eastAsia="仿宋" w:cs="仿宋"/>
                <w:sz w:val="24"/>
              </w:rPr>
            </w:pPr>
            <w:r>
              <w:rPr>
                <w:rFonts w:hint="eastAsia" w:ascii="仿宋" w:hAnsi="仿宋" w:eastAsia="仿宋" w:cs="仿宋"/>
                <w:sz w:val="24"/>
              </w:rPr>
              <w:t>2家≤电线电缆客户&lt;3家得10分</w:t>
            </w:r>
          </w:p>
          <w:p>
            <w:pPr>
              <w:spacing w:line="360" w:lineRule="auto"/>
              <w:rPr>
                <w:rFonts w:ascii="仿宋" w:hAnsi="仿宋" w:eastAsia="仿宋" w:cs="仿宋"/>
                <w:sz w:val="24"/>
              </w:rPr>
            </w:pPr>
            <w:r>
              <w:rPr>
                <w:rFonts w:hint="eastAsia" w:ascii="仿宋" w:hAnsi="仿宋" w:eastAsia="仿宋" w:cs="仿宋"/>
                <w:sz w:val="24"/>
              </w:rPr>
              <w:t>1家≤电线电缆客户&lt;2家得5分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8"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419"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服务承诺</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ascii="仿宋" w:hAnsi="仿宋" w:eastAsia="仿宋" w:cs="仿宋"/>
                <w:sz w:val="24"/>
              </w:rPr>
              <w:t>15</w:t>
            </w:r>
          </w:p>
        </w:tc>
        <w:tc>
          <w:tcPr>
            <w:tcW w:w="3932"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最优得满分，最低得</w:t>
            </w:r>
            <w:r>
              <w:rPr>
                <w:rFonts w:ascii="仿宋" w:hAnsi="仿宋" w:eastAsia="仿宋" w:cs="仿宋"/>
                <w:sz w:val="24"/>
              </w:rPr>
              <w:t>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合  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p>
        </w:tc>
      </w:tr>
    </w:tbl>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p>
      <w:pPr>
        <w:widowControl/>
        <w:jc w:val="left"/>
        <w:rPr>
          <w:rFonts w:ascii="仿宋" w:hAnsi="仿宋" w:eastAsia="仿宋" w:cs="宋体"/>
          <w:bCs/>
          <w:kern w:val="0"/>
          <w:sz w:val="24"/>
        </w:rPr>
      </w:pPr>
      <w:r>
        <w:rPr>
          <w:rFonts w:ascii="仿宋" w:hAnsi="仿宋" w:eastAsia="仿宋" w:cs="宋体"/>
          <w:bCs/>
          <w:kern w:val="0"/>
          <w:sz w:val="24"/>
        </w:rPr>
        <w:br w:type="page"/>
      </w:r>
    </w:p>
    <w:p>
      <w:pPr>
        <w:spacing w:line="400" w:lineRule="exact"/>
        <w:jc w:val="left"/>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3：</w:t>
      </w:r>
    </w:p>
    <w:p>
      <w:pPr>
        <w:spacing w:line="400" w:lineRule="exact"/>
        <w:jc w:val="center"/>
        <w:rPr>
          <w:rFonts w:ascii="仿宋" w:hAnsi="仿宋" w:eastAsia="仿宋"/>
          <w:sz w:val="30"/>
          <w:szCs w:val="30"/>
        </w:rPr>
      </w:pPr>
      <w:r>
        <w:rPr>
          <w:rFonts w:hint="eastAsia" w:ascii="仿宋" w:hAnsi="仿宋" w:eastAsia="仿宋"/>
          <w:sz w:val="30"/>
          <w:szCs w:val="30"/>
        </w:rPr>
        <w:t>技术部分评审细则（</w:t>
      </w:r>
      <w:r>
        <w:rPr>
          <w:rFonts w:hint="eastAsia" w:ascii="仿宋" w:hAnsi="仿宋" w:eastAsia="仿宋"/>
          <w:b/>
          <w:bCs/>
          <w:sz w:val="30"/>
          <w:szCs w:val="30"/>
        </w:rPr>
        <w:t>权重20%</w:t>
      </w:r>
      <w:r>
        <w:rPr>
          <w:rFonts w:ascii="仿宋" w:hAnsi="仿宋" w:eastAsia="仿宋"/>
          <w:sz w:val="30"/>
          <w:szCs w:val="30"/>
        </w:rPr>
        <w:t>）</w:t>
      </w:r>
    </w:p>
    <w:tbl>
      <w:tblPr>
        <w:tblStyle w:val="38"/>
        <w:tblpPr w:leftFromText="180" w:rightFromText="180" w:vertAnchor="text" w:horzAnchor="margin" w:tblpY="70"/>
        <w:tblW w:w="51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2451"/>
        <w:gridCol w:w="832"/>
        <w:gridCol w:w="5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blHeader/>
        </w:trPr>
        <w:tc>
          <w:tcPr>
            <w:tcW w:w="423" w:type="pct"/>
            <w:vAlign w:val="center"/>
          </w:tcPr>
          <w:p>
            <w:pPr>
              <w:ind w:left="204" w:hanging="204" w:hangingChars="85"/>
              <w:jc w:val="center"/>
              <w:rPr>
                <w:rFonts w:ascii="仿宋_GB2312" w:hAnsi="仿宋_GB2312" w:eastAsia="仿宋_GB2312" w:cs="Times New Roman"/>
                <w:sz w:val="24"/>
              </w:rPr>
            </w:pPr>
            <w:r>
              <w:rPr>
                <w:rFonts w:hint="eastAsia" w:ascii="仿宋_GB2312" w:hAnsi="仿宋_GB2312" w:eastAsia="仿宋_GB2312" w:cs="Times New Roman"/>
                <w:sz w:val="24"/>
              </w:rPr>
              <w:t>序号</w:t>
            </w:r>
          </w:p>
        </w:tc>
        <w:tc>
          <w:tcPr>
            <w:tcW w:w="1276"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评定项目</w:t>
            </w:r>
          </w:p>
        </w:tc>
        <w:tc>
          <w:tcPr>
            <w:tcW w:w="433" w:type="pct"/>
            <w:vAlign w:val="center"/>
          </w:tcPr>
          <w:p>
            <w:pPr>
              <w:ind w:left="204" w:hanging="204" w:hangingChars="85"/>
              <w:jc w:val="center"/>
              <w:rPr>
                <w:rFonts w:ascii="仿宋_GB2312" w:hAnsi="仿宋_GB2312" w:eastAsia="仿宋_GB2312" w:cs="Times New Roman"/>
                <w:sz w:val="24"/>
              </w:rPr>
            </w:pPr>
            <w:r>
              <w:rPr>
                <w:rFonts w:hint="eastAsia" w:ascii="仿宋_GB2312" w:hAnsi="仿宋_GB2312" w:eastAsia="仿宋_GB2312" w:cs="Times New Roman"/>
                <w:sz w:val="24"/>
              </w:rPr>
              <w:t>标准</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blHeader/>
        </w:trPr>
        <w:tc>
          <w:tcPr>
            <w:tcW w:w="423" w:type="pct"/>
            <w:vAlign w:val="center"/>
          </w:tcPr>
          <w:p>
            <w:pPr>
              <w:ind w:left="204" w:hanging="204" w:hangingChars="85"/>
              <w:jc w:val="center"/>
              <w:rPr>
                <w:rFonts w:ascii="仿宋_GB2312" w:hAnsi="仿宋_GB2312" w:eastAsia="仿宋_GB2312" w:cs="Times New Roman"/>
                <w:sz w:val="24"/>
              </w:rPr>
            </w:pPr>
            <w:r>
              <w:rPr>
                <w:rFonts w:hint="eastAsia" w:ascii="仿宋_GB2312" w:hAnsi="仿宋_GB2312" w:eastAsia="仿宋_GB2312" w:cs="Times New Roman"/>
                <w:sz w:val="24"/>
              </w:rPr>
              <w:t>1</w:t>
            </w:r>
          </w:p>
        </w:tc>
        <w:tc>
          <w:tcPr>
            <w:tcW w:w="1276" w:type="pct"/>
            <w:vAlign w:val="center"/>
          </w:tcPr>
          <w:p>
            <w:pPr>
              <w:ind w:left="206" w:leftChars="98"/>
              <w:rPr>
                <w:rFonts w:ascii="仿宋_GB2312" w:hAnsi="仿宋_GB2312" w:eastAsia="仿宋_GB2312" w:cs="Times New Roman"/>
                <w:sz w:val="24"/>
              </w:rPr>
            </w:pPr>
            <w:r>
              <w:rPr>
                <w:rFonts w:hint="eastAsia" w:ascii="仿宋_GB2312" w:hAnsi="仿宋_GB2312" w:eastAsia="仿宋_GB2312" w:cs="Times New Roman"/>
                <w:sz w:val="24"/>
              </w:rPr>
              <w:t>健全的经营、服务、调度、统计、技术等机构和相应的完备的管理制度</w:t>
            </w:r>
          </w:p>
        </w:tc>
        <w:tc>
          <w:tcPr>
            <w:tcW w:w="433"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20</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有针对电缆装卸的作业指导书，及相应的管理制度得满分，没有不得分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423" w:type="pct"/>
          </w:tcPr>
          <w:p>
            <w:pPr>
              <w:snapToGrid w:val="0"/>
              <w:ind w:left="206" w:leftChars="98"/>
              <w:rPr>
                <w:rFonts w:ascii="仿宋_GB2312" w:hAnsi="仿宋_GB2312" w:eastAsia="仿宋_GB2312" w:cs="Times New Roman"/>
                <w:sz w:val="24"/>
              </w:rPr>
            </w:pPr>
            <w:r>
              <w:rPr>
                <w:rFonts w:hint="eastAsia" w:ascii="仿宋_GB2312" w:hAnsi="仿宋_GB2312" w:eastAsia="仿宋_GB2312" w:cs="Times New Roman"/>
                <w:sz w:val="24"/>
              </w:rPr>
              <w:t>2</w:t>
            </w:r>
          </w:p>
        </w:tc>
        <w:tc>
          <w:tcPr>
            <w:tcW w:w="1276" w:type="pct"/>
            <w:vAlign w:val="center"/>
          </w:tcPr>
          <w:p>
            <w:pPr>
              <w:ind w:left="206" w:leftChars="98"/>
              <w:jc w:val="left"/>
              <w:rPr>
                <w:rFonts w:ascii="仿宋_GB2312" w:hAnsi="仿宋_GB2312" w:eastAsia="仿宋_GB2312" w:cs="Times New Roman"/>
                <w:sz w:val="24"/>
              </w:rPr>
            </w:pPr>
            <w:r>
              <w:rPr>
                <w:rFonts w:hint="eastAsia" w:ascii="仿宋_GB2312" w:hAnsi="仿宋_GB2312" w:eastAsia="仿宋_GB2312" w:cs="Times New Roman"/>
                <w:sz w:val="24"/>
              </w:rPr>
              <w:t>车辆安排及调运系统完善，物流跟踪及反馈良好</w:t>
            </w:r>
          </w:p>
        </w:tc>
        <w:tc>
          <w:tcPr>
            <w:tcW w:w="433" w:type="pct"/>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20</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自有或合作车辆不低于2辆并提供证明得10分，每多一辆加2分，本项得分最高为20分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423" w:type="pct"/>
            <w:vAlign w:val="center"/>
          </w:tcPr>
          <w:p>
            <w:pPr>
              <w:snapToGrid w:val="0"/>
              <w:ind w:left="206" w:leftChars="98"/>
              <w:rPr>
                <w:rFonts w:ascii="仿宋_GB2312" w:hAnsi="仿宋_GB2312" w:eastAsia="仿宋_GB2312" w:cs="Arial Unicode MS"/>
                <w:sz w:val="24"/>
              </w:rPr>
            </w:pPr>
            <w:r>
              <w:rPr>
                <w:rFonts w:hint="eastAsia" w:ascii="仿宋_GB2312" w:hAnsi="仿宋_GB2312" w:eastAsia="仿宋_GB2312" w:cs="Arial Unicode MS"/>
                <w:sz w:val="24"/>
              </w:rPr>
              <w:t>3</w:t>
            </w:r>
          </w:p>
        </w:tc>
        <w:tc>
          <w:tcPr>
            <w:tcW w:w="1276" w:type="pct"/>
            <w:vAlign w:val="center"/>
          </w:tcPr>
          <w:p>
            <w:pPr>
              <w:ind w:left="206" w:leftChars="98"/>
              <w:jc w:val="left"/>
              <w:rPr>
                <w:rFonts w:ascii="仿宋_GB2312" w:hAnsi="仿宋_GB2312" w:eastAsia="仿宋_GB2312" w:cs="Times New Roman"/>
                <w:sz w:val="24"/>
              </w:rPr>
            </w:pPr>
            <w:r>
              <w:rPr>
                <w:rFonts w:ascii="仿宋_GB2312" w:hAnsi="仿宋_GB2312" w:eastAsia="仿宋_GB2312" w:cs="Times New Roman"/>
                <w:sz w:val="24"/>
              </w:rPr>
              <w:t>电线电缆运输经验</w:t>
            </w:r>
          </w:p>
        </w:tc>
        <w:tc>
          <w:tcPr>
            <w:tcW w:w="433"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20</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具备三年以上电线电缆运输经验（提供合同及发票</w:t>
            </w:r>
            <w:r>
              <w:rPr>
                <w:rFonts w:hint="eastAsia" w:ascii="仿宋" w:hAnsi="仿宋" w:eastAsia="仿宋"/>
                <w:sz w:val="24"/>
              </w:rPr>
              <w:t>或收款凭证</w:t>
            </w:r>
            <w:r>
              <w:rPr>
                <w:rFonts w:hint="eastAsia" w:ascii="仿宋_GB2312" w:hAnsi="仿宋_GB2312" w:eastAsia="仿宋_GB2312" w:cs="Times New Roman"/>
                <w:sz w:val="24"/>
              </w:rPr>
              <w:t>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23" w:type="pct"/>
            <w:vAlign w:val="center"/>
          </w:tcPr>
          <w:p>
            <w:pPr>
              <w:snapToGrid w:val="0"/>
              <w:ind w:left="206" w:leftChars="98"/>
              <w:rPr>
                <w:rFonts w:ascii="仿宋_GB2312" w:hAnsi="仿宋_GB2312" w:eastAsia="仿宋_GB2312" w:cs="Arial Unicode MS"/>
                <w:sz w:val="24"/>
              </w:rPr>
            </w:pPr>
            <w:r>
              <w:rPr>
                <w:rFonts w:hint="eastAsia" w:ascii="仿宋_GB2312" w:hAnsi="仿宋_GB2312" w:eastAsia="仿宋_GB2312" w:cs="Arial Unicode MS"/>
                <w:sz w:val="24"/>
              </w:rPr>
              <w:t>4</w:t>
            </w:r>
          </w:p>
        </w:tc>
        <w:tc>
          <w:tcPr>
            <w:tcW w:w="1276" w:type="pct"/>
            <w:vAlign w:val="center"/>
          </w:tcPr>
          <w:p>
            <w:pPr>
              <w:ind w:left="206" w:leftChars="98"/>
              <w:jc w:val="left"/>
              <w:rPr>
                <w:rFonts w:ascii="仿宋_GB2312" w:hAnsi="仿宋_GB2312" w:eastAsia="仿宋_GB2312" w:cs="Times New Roman"/>
                <w:sz w:val="24"/>
              </w:rPr>
            </w:pPr>
            <w:r>
              <w:rPr>
                <w:rFonts w:ascii="仿宋_GB2312" w:hAnsi="仿宋_GB2312" w:eastAsia="仿宋_GB2312" w:cs="Times New Roman"/>
                <w:sz w:val="24"/>
              </w:rPr>
              <w:t>客服人员充足</w:t>
            </w:r>
          </w:p>
        </w:tc>
        <w:tc>
          <w:tcPr>
            <w:tcW w:w="433"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20</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提供能长期固定驻场的客服专员（或团队）</w:t>
            </w:r>
          </w:p>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提供承诺书，及人员/团队简历资料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423" w:type="pct"/>
            <w:vAlign w:val="center"/>
          </w:tcPr>
          <w:p>
            <w:pPr>
              <w:snapToGrid w:val="0"/>
              <w:ind w:left="206" w:leftChars="98"/>
              <w:rPr>
                <w:rFonts w:ascii="仿宋_GB2312" w:hAnsi="仿宋_GB2312" w:eastAsia="仿宋_GB2312" w:cs="Arial Unicode MS"/>
                <w:sz w:val="24"/>
              </w:rPr>
            </w:pPr>
            <w:r>
              <w:rPr>
                <w:rFonts w:hint="eastAsia" w:ascii="仿宋_GB2312" w:hAnsi="仿宋_GB2312" w:eastAsia="仿宋_GB2312" w:cs="Arial Unicode MS"/>
                <w:sz w:val="24"/>
              </w:rPr>
              <w:t>5</w:t>
            </w:r>
          </w:p>
        </w:tc>
        <w:tc>
          <w:tcPr>
            <w:tcW w:w="1276" w:type="pct"/>
            <w:vAlign w:val="center"/>
          </w:tcPr>
          <w:p>
            <w:pPr>
              <w:ind w:left="206" w:leftChars="98"/>
              <w:jc w:val="left"/>
              <w:rPr>
                <w:rFonts w:ascii="仿宋_GB2312" w:hAnsi="仿宋_GB2312" w:eastAsia="仿宋_GB2312" w:cs="Times New Roman"/>
                <w:sz w:val="24"/>
              </w:rPr>
            </w:pPr>
            <w:r>
              <w:rPr>
                <w:rFonts w:ascii="仿宋_GB2312" w:hAnsi="仿宋_GB2312" w:eastAsia="仿宋_GB2312" w:cs="Times New Roman"/>
                <w:sz w:val="24"/>
              </w:rPr>
              <w:t>具备物流信息跟踪系统，且物流信息反馈良好</w:t>
            </w:r>
          </w:p>
        </w:tc>
        <w:tc>
          <w:tcPr>
            <w:tcW w:w="433"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20</w:t>
            </w:r>
          </w:p>
        </w:tc>
        <w:tc>
          <w:tcPr>
            <w:tcW w:w="2867"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有物流跟踪反馈系统得满分，没有不得分；</w:t>
            </w:r>
            <w:r>
              <w:rPr>
                <w:rFonts w:hint="eastAsia" w:ascii="仿宋_GB2312" w:hAnsi="仿宋_GB2312" w:eastAsia="仿宋_GB2312" w:cs="Times New Roman"/>
                <w:sz w:val="24"/>
              </w:rPr>
              <w:br w:type="textWrapping"/>
            </w:r>
            <w:r>
              <w:rPr>
                <w:rFonts w:hint="eastAsia" w:ascii="仿宋_GB2312" w:hAnsi="仿宋_GB2312" w:eastAsia="仿宋_GB2312" w:cs="Times New Roman"/>
                <w:sz w:val="24"/>
              </w:rPr>
              <w:t>愿意接受甲方系统得满分，不接受不得分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rPr>
        <w:tc>
          <w:tcPr>
            <w:tcW w:w="423" w:type="pct"/>
            <w:vAlign w:val="center"/>
          </w:tcPr>
          <w:p>
            <w:pPr>
              <w:snapToGrid w:val="0"/>
              <w:ind w:left="206" w:leftChars="98"/>
              <w:rPr>
                <w:rFonts w:ascii="仿宋_GB2312" w:hAnsi="仿宋_GB2312" w:eastAsia="仿宋_GB2312" w:cs="Arial Unicode MS"/>
                <w:b/>
                <w:sz w:val="24"/>
              </w:rPr>
            </w:pPr>
          </w:p>
        </w:tc>
        <w:tc>
          <w:tcPr>
            <w:tcW w:w="1276"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合计</w:t>
            </w:r>
          </w:p>
        </w:tc>
        <w:tc>
          <w:tcPr>
            <w:tcW w:w="433" w:type="pct"/>
            <w:vAlign w:val="center"/>
          </w:tcPr>
          <w:p>
            <w:pPr>
              <w:ind w:left="206" w:leftChars="98"/>
              <w:jc w:val="center"/>
              <w:rPr>
                <w:rFonts w:ascii="仿宋_GB2312" w:hAnsi="仿宋_GB2312" w:eastAsia="仿宋_GB2312" w:cs="Times New Roman"/>
                <w:sz w:val="24"/>
              </w:rPr>
            </w:pPr>
            <w:r>
              <w:rPr>
                <w:rFonts w:hint="eastAsia" w:ascii="仿宋_GB2312" w:hAnsi="仿宋_GB2312" w:eastAsia="仿宋_GB2312" w:cs="Times New Roman"/>
                <w:sz w:val="24"/>
              </w:rPr>
              <w:t>100</w:t>
            </w:r>
          </w:p>
        </w:tc>
        <w:tc>
          <w:tcPr>
            <w:tcW w:w="2867" w:type="pct"/>
            <w:vAlign w:val="center"/>
          </w:tcPr>
          <w:p>
            <w:pPr>
              <w:ind w:left="206" w:leftChars="98"/>
              <w:jc w:val="center"/>
              <w:rPr>
                <w:rFonts w:ascii="仿宋_GB2312" w:hAnsi="仿宋_GB2312" w:eastAsia="仿宋_GB2312" w:cs="Times New Roman"/>
                <w:sz w:val="24"/>
              </w:rPr>
            </w:pPr>
          </w:p>
        </w:tc>
      </w:tr>
    </w:tbl>
    <w:p>
      <w:pPr>
        <w:pStyle w:val="2"/>
        <w:sectPr>
          <w:footerReference r:id="rId5" w:type="default"/>
          <w:pgSz w:w="11906" w:h="16838"/>
          <w:pgMar w:top="1701" w:right="1418" w:bottom="1418" w:left="1418" w:header="851" w:footer="992" w:gutter="0"/>
          <w:cols w:space="720" w:num="1"/>
          <w:docGrid w:type="lines" w:linePitch="312" w:charSpace="0"/>
        </w:sectPr>
      </w:pPr>
    </w:p>
    <w:p>
      <w:pPr>
        <w:pStyle w:val="3"/>
        <w:rPr>
          <w:rFonts w:eastAsia="黑体"/>
          <w:b w:val="0"/>
          <w:spacing w:val="91"/>
          <w:sz w:val="44"/>
          <w:szCs w:val="36"/>
        </w:rPr>
      </w:pPr>
      <w:bookmarkStart w:id="346" w:name="_Toc13760626"/>
      <w:bookmarkStart w:id="347" w:name="_Toc151390396"/>
      <w:r>
        <w:rPr>
          <w:rFonts w:hint="eastAsia"/>
        </w:rPr>
        <w:t>第四章  合同及附件</w:t>
      </w:r>
      <w:bookmarkEnd w:id="346"/>
      <w:bookmarkEnd w:id="347"/>
    </w:p>
    <w:p>
      <w:pPr>
        <w:spacing w:line="460" w:lineRule="exact"/>
        <w:jc w:val="center"/>
        <w:rPr>
          <w:rFonts w:ascii="仿宋" w:hAnsi="仿宋" w:eastAsia="仿宋" w:cs="仿宋"/>
          <w:sz w:val="24"/>
        </w:rPr>
      </w:pPr>
      <w:bookmarkStart w:id="348" w:name="_Toc13760628"/>
      <w:r>
        <w:rPr>
          <w:rFonts w:hint="eastAsia" w:ascii="仿宋" w:hAnsi="仿宋" w:eastAsia="仿宋" w:cs="仿宋"/>
          <w:sz w:val="24"/>
        </w:rPr>
        <w:t>物流运输合同</w:t>
      </w:r>
    </w:p>
    <w:p>
      <w:pPr>
        <w:spacing w:line="460" w:lineRule="exact"/>
        <w:jc w:val="center"/>
        <w:rPr>
          <w:rFonts w:ascii="宋体" w:hAnsi="宋体" w:cs="宋体"/>
          <w:sz w:val="24"/>
          <w:szCs w:val="20"/>
          <w:lang w:bidi="ar"/>
        </w:rPr>
      </w:pPr>
    </w:p>
    <w:p>
      <w:pPr>
        <w:spacing w:line="460" w:lineRule="exact"/>
        <w:rPr>
          <w:rFonts w:ascii="仿宋" w:hAnsi="仿宋" w:eastAsia="仿宋" w:cs="仿宋"/>
          <w:sz w:val="24"/>
        </w:rPr>
      </w:pPr>
      <w:r>
        <w:rPr>
          <w:rFonts w:hint="eastAsia" w:ascii="仿宋" w:hAnsi="仿宋" w:eastAsia="仿宋" w:cs="仿宋"/>
          <w:sz w:val="24"/>
        </w:rPr>
        <w:t>甲方（托运人）：四川天成明超电缆有限公司（以下简称“甲方”）</w:t>
      </w:r>
    </w:p>
    <w:p>
      <w:pPr>
        <w:spacing w:line="460" w:lineRule="exact"/>
        <w:rPr>
          <w:rFonts w:ascii="仿宋" w:hAnsi="仿宋" w:eastAsia="仿宋" w:cs="仿宋"/>
          <w:sz w:val="24"/>
        </w:rPr>
      </w:pPr>
      <w:r>
        <w:rPr>
          <w:rFonts w:hint="eastAsia" w:ascii="仿宋" w:hAnsi="仿宋" w:eastAsia="仿宋" w:cs="仿宋"/>
          <w:sz w:val="24"/>
        </w:rPr>
        <w:t xml:space="preserve">电          话：                                               </w:t>
      </w:r>
    </w:p>
    <w:p>
      <w:pPr>
        <w:spacing w:line="460" w:lineRule="exact"/>
        <w:rPr>
          <w:rFonts w:ascii="仿宋" w:hAnsi="仿宋" w:eastAsia="仿宋" w:cs="仿宋"/>
          <w:sz w:val="24"/>
        </w:rPr>
      </w:pPr>
      <w:r>
        <w:rPr>
          <w:rFonts w:hint="eastAsia" w:ascii="仿宋" w:hAnsi="仿宋" w:eastAsia="仿宋" w:cs="仿宋"/>
          <w:sz w:val="24"/>
        </w:rPr>
        <w:t xml:space="preserve">地          址：                                              </w:t>
      </w:r>
    </w:p>
    <w:p>
      <w:pPr>
        <w:spacing w:line="460" w:lineRule="exact"/>
        <w:rPr>
          <w:rFonts w:ascii="仿宋" w:hAnsi="仿宋" w:eastAsia="仿宋" w:cs="仿宋"/>
          <w:sz w:val="24"/>
        </w:rPr>
      </w:pPr>
      <w:r>
        <w:rPr>
          <w:rFonts w:hint="eastAsia" w:ascii="仿宋" w:hAnsi="仿宋" w:eastAsia="仿宋" w:cs="仿宋"/>
          <w:sz w:val="24"/>
        </w:rPr>
        <w:t xml:space="preserve">法 定 代 表 人：                                               </w:t>
      </w: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乙方（承运人）：                               （以下简称“乙方”）</w:t>
      </w:r>
    </w:p>
    <w:p>
      <w:pPr>
        <w:spacing w:line="460" w:lineRule="exact"/>
        <w:rPr>
          <w:rFonts w:ascii="仿宋" w:hAnsi="仿宋" w:eastAsia="仿宋" w:cs="仿宋"/>
          <w:sz w:val="24"/>
        </w:rPr>
      </w:pPr>
      <w:r>
        <w:rPr>
          <w:rFonts w:hint="eastAsia" w:ascii="仿宋" w:hAnsi="仿宋" w:eastAsia="仿宋" w:cs="仿宋"/>
          <w:sz w:val="24"/>
        </w:rPr>
        <w:t xml:space="preserve">电          话：                                               </w:t>
      </w:r>
    </w:p>
    <w:p>
      <w:pPr>
        <w:spacing w:line="460" w:lineRule="exact"/>
        <w:rPr>
          <w:rFonts w:ascii="仿宋" w:hAnsi="仿宋" w:eastAsia="仿宋" w:cs="仿宋"/>
          <w:sz w:val="24"/>
        </w:rPr>
      </w:pPr>
      <w:r>
        <w:rPr>
          <w:rFonts w:hint="eastAsia" w:ascii="仿宋" w:hAnsi="仿宋" w:eastAsia="仿宋" w:cs="仿宋"/>
          <w:sz w:val="24"/>
        </w:rPr>
        <w:t xml:space="preserve">地          址：                                              </w:t>
      </w:r>
    </w:p>
    <w:p>
      <w:pPr>
        <w:spacing w:line="460" w:lineRule="exact"/>
        <w:rPr>
          <w:rFonts w:ascii="仿宋" w:hAnsi="仿宋" w:eastAsia="仿宋" w:cs="仿宋"/>
          <w:sz w:val="24"/>
        </w:rPr>
      </w:pPr>
      <w:r>
        <w:rPr>
          <w:rFonts w:hint="eastAsia" w:ascii="仿宋" w:hAnsi="仿宋" w:eastAsia="仿宋" w:cs="仿宋"/>
          <w:sz w:val="24"/>
        </w:rPr>
        <w:t xml:space="preserve">法 定 代 表 人：                                               </w:t>
      </w:r>
    </w:p>
    <w:p>
      <w:pPr>
        <w:spacing w:line="460" w:lineRule="exact"/>
        <w:rPr>
          <w:rFonts w:ascii="仿宋" w:hAnsi="仿宋" w:eastAsia="仿宋" w:cs="仿宋"/>
          <w:sz w:val="24"/>
        </w:rPr>
      </w:pPr>
    </w:p>
    <w:p>
      <w:pPr>
        <w:spacing w:line="460" w:lineRule="exact"/>
        <w:ind w:firstLine="480" w:firstLineChars="200"/>
        <w:rPr>
          <w:rFonts w:ascii="仿宋" w:hAnsi="仿宋" w:eastAsia="仿宋" w:cs="仿宋"/>
          <w:sz w:val="24"/>
        </w:rPr>
      </w:pPr>
      <w:r>
        <w:rPr>
          <w:rFonts w:hint="eastAsia" w:ascii="仿宋" w:hAnsi="仿宋" w:eastAsia="仿宋" w:cs="仿宋"/>
          <w:sz w:val="24"/>
        </w:rPr>
        <w:t>鉴于甲方和乙方依法设立且合法存续，双方本着公平、等价有偿和诚信原则，依据《中华人民共和国民法典》等相关法律法规的规定，就甲方委托乙方承运货物事宜签订本合同，以资共同信守。</w:t>
      </w:r>
    </w:p>
    <w:p>
      <w:pPr>
        <w:spacing w:line="460" w:lineRule="exact"/>
        <w:rPr>
          <w:rFonts w:ascii="仿宋" w:hAnsi="仿宋" w:eastAsia="仿宋" w:cs="仿宋"/>
          <w:sz w:val="24"/>
        </w:rPr>
      </w:pPr>
      <w:r>
        <w:rPr>
          <w:rFonts w:hint="eastAsia" w:ascii="仿宋" w:hAnsi="仿宋" w:eastAsia="仿宋" w:cs="仿宋"/>
          <w:sz w:val="24"/>
        </w:rPr>
        <w:t>1、服务内容</w:t>
      </w:r>
    </w:p>
    <w:p>
      <w:pPr>
        <w:spacing w:line="460" w:lineRule="exact"/>
        <w:ind w:firstLine="495"/>
        <w:rPr>
          <w:rFonts w:ascii="仿宋" w:hAnsi="仿宋" w:eastAsia="仿宋" w:cs="仿宋"/>
          <w:sz w:val="24"/>
        </w:rPr>
      </w:pPr>
      <w:r>
        <w:rPr>
          <w:rFonts w:hint="eastAsia" w:ascii="仿宋" w:hAnsi="仿宋" w:eastAsia="仿宋" w:cs="仿宋"/>
          <w:sz w:val="24"/>
        </w:rPr>
        <w:t xml:space="preserve">甲方将自己公司的物流设计与实际运输业务委托给乙方。乙方的服务内容包括以下几点： </w:t>
      </w:r>
    </w:p>
    <w:p>
      <w:pPr>
        <w:spacing w:line="460" w:lineRule="exact"/>
        <w:ind w:firstLine="495"/>
        <w:rPr>
          <w:rFonts w:ascii="仿宋" w:hAnsi="仿宋" w:eastAsia="仿宋" w:cs="仿宋"/>
          <w:sz w:val="24"/>
        </w:rPr>
      </w:pPr>
      <w:r>
        <w:rPr>
          <w:rFonts w:hint="eastAsia" w:ascii="仿宋" w:hAnsi="仿宋" w:eastAsia="仿宋" w:cs="仿宋"/>
          <w:sz w:val="24"/>
        </w:rPr>
        <w:t>1.1乙方需上门取货，并负责在甲方指定地点装车工作和上车后防护工作，甲方提供必要的叉车装吊工具和工具操作人员，取货后乙方将货物按时配送到目的地，并负责卸货，按客户要求将货物放置于客户指定位置。</w:t>
      </w:r>
    </w:p>
    <w:p>
      <w:pPr>
        <w:spacing w:line="460" w:lineRule="exact"/>
        <w:ind w:firstLine="495"/>
        <w:rPr>
          <w:rFonts w:ascii="仿宋" w:hAnsi="仿宋" w:eastAsia="仿宋" w:cs="仿宋"/>
          <w:sz w:val="24"/>
        </w:rPr>
      </w:pPr>
      <w:r>
        <w:rPr>
          <w:rFonts w:hint="eastAsia" w:ascii="仿宋" w:hAnsi="仿宋" w:eastAsia="仿宋" w:cs="仿宋"/>
          <w:sz w:val="24"/>
        </w:rPr>
        <w:t xml:space="preserve">1.2乙方需提供满足合作下单、对账等需要的专业化信息系统，按甲方需求提供给甲方使用或与甲方管理系统对接，必要时需作系统改进。 </w:t>
      </w:r>
    </w:p>
    <w:p>
      <w:pPr>
        <w:spacing w:line="460" w:lineRule="exact"/>
        <w:ind w:firstLine="495"/>
        <w:rPr>
          <w:rFonts w:ascii="仿宋" w:hAnsi="仿宋" w:eastAsia="仿宋" w:cs="仿宋"/>
          <w:sz w:val="24"/>
        </w:rPr>
      </w:pPr>
      <w:r>
        <w:rPr>
          <w:rFonts w:hint="eastAsia" w:ascii="仿宋" w:hAnsi="仿宋" w:eastAsia="仿宋" w:cs="仿宋"/>
          <w:sz w:val="24"/>
        </w:rPr>
        <w:t>1.3乙方须配置充分的项目执行人员，同时随车配置跟车人员，代甲方与客户做交接签收，并在规定时间内将签收回单交回甲方。</w:t>
      </w:r>
    </w:p>
    <w:p>
      <w:pPr>
        <w:spacing w:line="460" w:lineRule="exact"/>
        <w:ind w:firstLine="495"/>
        <w:rPr>
          <w:rFonts w:ascii="仿宋" w:hAnsi="仿宋" w:eastAsia="仿宋" w:cs="仿宋"/>
          <w:sz w:val="24"/>
        </w:rPr>
      </w:pPr>
      <w:r>
        <w:rPr>
          <w:rFonts w:hint="eastAsia" w:ascii="仿宋" w:hAnsi="仿宋" w:eastAsia="仿宋" w:cs="仿宋"/>
          <w:sz w:val="24"/>
        </w:rPr>
        <w:t>1.4乙方负有对在履行本合同义务时知悉的甲方商业秘密的保密义务。乙方应严格保守甲方商业秘密的机密性，保证自接收、管理、使用、掌握或知悉商业秘密之日起、交易（项目）期间及届满后两年内，未经甲方事先书面同意，不得将该商业秘密泄漏或交付予任何第三方。</w:t>
      </w:r>
    </w:p>
    <w:p>
      <w:pPr>
        <w:spacing w:line="460" w:lineRule="exact"/>
        <w:rPr>
          <w:rFonts w:ascii="仿宋" w:hAnsi="仿宋" w:eastAsia="仿宋" w:cs="仿宋"/>
          <w:sz w:val="24"/>
        </w:rPr>
      </w:pPr>
      <w:r>
        <w:rPr>
          <w:rFonts w:hint="eastAsia" w:ascii="仿宋" w:hAnsi="仿宋" w:eastAsia="仿宋" w:cs="仿宋"/>
          <w:sz w:val="24"/>
        </w:rPr>
        <w:t>2、运输货物</w:t>
      </w:r>
    </w:p>
    <w:p>
      <w:pPr>
        <w:spacing w:line="460" w:lineRule="exact"/>
        <w:ind w:firstLine="480"/>
        <w:rPr>
          <w:rFonts w:ascii="仿宋" w:hAnsi="仿宋" w:eastAsia="仿宋" w:cs="仿宋"/>
          <w:sz w:val="24"/>
        </w:rPr>
      </w:pPr>
      <w:r>
        <w:rPr>
          <w:rFonts w:hint="eastAsia" w:ascii="仿宋" w:hAnsi="仿宋" w:eastAsia="仿宋" w:cs="仿宋"/>
          <w:sz w:val="24"/>
        </w:rPr>
        <w:t>2.1货物名称：电线电缆及其相关产品（非危险品）。</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2.2货物规格、数量：以甲方每次向乙方发出的书面通知或系统通知（为甲方所提供的固定格式，以下简称“发运单” ）为准。 </w:t>
      </w:r>
    </w:p>
    <w:p>
      <w:pPr>
        <w:spacing w:line="460" w:lineRule="exact"/>
        <w:ind w:firstLine="480" w:firstLineChars="200"/>
        <w:rPr>
          <w:rFonts w:ascii="仿宋" w:hAnsi="仿宋" w:eastAsia="仿宋" w:cs="仿宋"/>
          <w:sz w:val="24"/>
        </w:rPr>
      </w:pPr>
      <w:r>
        <w:rPr>
          <w:rFonts w:hint="eastAsia" w:ascii="仿宋" w:hAnsi="仿宋" w:eastAsia="仿宋" w:cs="仿宋"/>
          <w:sz w:val="24"/>
        </w:rPr>
        <w:t>2.3货物包装：甲方必须按照国家主管机关规定的标准包装；没有统一规定包装标准的，应根据保证货物运输安全的原则进行包装，甲方产品分为盘装及圈装包装。</w:t>
      </w:r>
    </w:p>
    <w:p>
      <w:pPr>
        <w:spacing w:line="460" w:lineRule="exact"/>
        <w:ind w:firstLine="480" w:firstLineChars="200"/>
        <w:rPr>
          <w:rFonts w:ascii="仿宋" w:hAnsi="仿宋" w:eastAsia="仿宋" w:cs="仿宋"/>
          <w:sz w:val="24"/>
        </w:rPr>
      </w:pPr>
      <w:r>
        <w:rPr>
          <w:rFonts w:hint="eastAsia" w:ascii="仿宋" w:hAnsi="仿宋" w:eastAsia="仿宋" w:cs="仿宋"/>
          <w:sz w:val="24"/>
        </w:rPr>
        <w:t>2.4货物运输严禁超载、超高、超宽，否则乙方需承担因超载产生的后果。</w:t>
      </w:r>
    </w:p>
    <w:p>
      <w:pPr>
        <w:spacing w:line="460" w:lineRule="exact"/>
        <w:rPr>
          <w:rFonts w:ascii="仿宋" w:hAnsi="仿宋" w:eastAsia="仿宋" w:cs="仿宋"/>
          <w:sz w:val="24"/>
        </w:rPr>
      </w:pPr>
      <w:r>
        <w:rPr>
          <w:rFonts w:hint="eastAsia" w:ascii="仿宋" w:hAnsi="仿宋" w:eastAsia="仿宋" w:cs="仿宋"/>
          <w:sz w:val="24"/>
        </w:rPr>
        <w:t>3、承运区域</w:t>
      </w:r>
    </w:p>
    <w:p>
      <w:pPr>
        <w:spacing w:line="460" w:lineRule="exact"/>
        <w:ind w:firstLine="470" w:firstLineChars="196"/>
        <w:rPr>
          <w:rFonts w:ascii="仿宋" w:hAnsi="仿宋" w:eastAsia="仿宋" w:cs="仿宋"/>
          <w:sz w:val="24"/>
        </w:rPr>
      </w:pPr>
      <w:r>
        <w:rPr>
          <w:rFonts w:hint="eastAsia" w:ascii="仿宋" w:hAnsi="仿宋" w:eastAsia="仿宋" w:cs="仿宋"/>
          <w:sz w:val="24"/>
        </w:rPr>
        <w:t>3.1起运地和到达地：以甲方每次发出的“发运单”所列明的目的地为依据；确有变更时，应当以甲方变更的书面通知为准。</w:t>
      </w:r>
    </w:p>
    <w:p>
      <w:pPr>
        <w:spacing w:line="460" w:lineRule="exact"/>
        <w:ind w:firstLine="435"/>
        <w:rPr>
          <w:rFonts w:ascii="仿宋" w:hAnsi="仿宋" w:eastAsia="仿宋" w:cs="仿宋"/>
          <w:sz w:val="24"/>
        </w:rPr>
      </w:pPr>
      <w:r>
        <w:rPr>
          <w:rFonts w:hint="eastAsia" w:ascii="仿宋" w:hAnsi="仿宋" w:eastAsia="仿宋" w:cs="仿宋"/>
          <w:sz w:val="24"/>
        </w:rPr>
        <w:t xml:space="preserve">3.2承运区域：乙方承运区域为非固定区域，由甲方根据实际情况进行安排、调整。  </w:t>
      </w:r>
    </w:p>
    <w:p>
      <w:pPr>
        <w:spacing w:line="460" w:lineRule="exact"/>
        <w:rPr>
          <w:rFonts w:ascii="仿宋" w:hAnsi="仿宋" w:eastAsia="仿宋" w:cs="仿宋"/>
          <w:sz w:val="24"/>
        </w:rPr>
      </w:pPr>
      <w:r>
        <w:rPr>
          <w:rFonts w:hint="eastAsia" w:ascii="仿宋" w:hAnsi="仿宋" w:eastAsia="仿宋" w:cs="仿宋"/>
          <w:sz w:val="24"/>
        </w:rPr>
        <w:t>4、运输要求</w:t>
      </w:r>
    </w:p>
    <w:p>
      <w:pPr>
        <w:spacing w:line="460" w:lineRule="exact"/>
        <w:ind w:firstLine="470" w:firstLineChars="196"/>
        <w:rPr>
          <w:rFonts w:ascii="仿宋" w:hAnsi="仿宋" w:eastAsia="仿宋" w:cs="仿宋"/>
          <w:sz w:val="24"/>
        </w:rPr>
      </w:pPr>
      <w:r>
        <w:rPr>
          <w:rFonts w:hint="eastAsia" w:ascii="仿宋" w:hAnsi="仿宋" w:eastAsia="仿宋" w:cs="仿宋"/>
          <w:sz w:val="24"/>
        </w:rPr>
        <w:t>4.1时效要求</w:t>
      </w:r>
    </w:p>
    <w:p>
      <w:pPr>
        <w:spacing w:line="460" w:lineRule="exact"/>
        <w:ind w:firstLine="470" w:firstLineChars="196"/>
        <w:rPr>
          <w:rFonts w:ascii="仿宋" w:hAnsi="仿宋" w:eastAsia="仿宋" w:cs="仿宋"/>
          <w:sz w:val="24"/>
        </w:rPr>
      </w:pPr>
      <w:r>
        <w:rPr>
          <w:rFonts w:hint="eastAsia" w:ascii="仿宋" w:hAnsi="仿宋" w:eastAsia="仿宋" w:cs="仿宋"/>
          <w:sz w:val="24"/>
        </w:rPr>
        <w:t>4.1.1乙方承诺的运输时效指：从乙方签收甲方书面或系统通知后开始计算时效，至乙方向甲方收货单位交货止。</w:t>
      </w:r>
    </w:p>
    <w:p>
      <w:pPr>
        <w:spacing w:line="460" w:lineRule="exact"/>
        <w:ind w:firstLine="470" w:firstLineChars="196"/>
        <w:rPr>
          <w:rFonts w:ascii="仿宋" w:hAnsi="仿宋" w:eastAsia="仿宋" w:cs="仿宋"/>
          <w:sz w:val="24"/>
        </w:rPr>
      </w:pPr>
      <w:r>
        <w:rPr>
          <w:rFonts w:hint="eastAsia" w:ascii="仿宋" w:hAnsi="仿宋" w:eastAsia="仿宋" w:cs="仿宋"/>
          <w:sz w:val="24"/>
        </w:rPr>
        <w:t>4.1.2乙方承诺的回单时效指：从乙方向收货单位交货计算开始，至甲方签收交货回单止。</w:t>
      </w:r>
    </w:p>
    <w:p>
      <w:pPr>
        <w:spacing w:line="460" w:lineRule="exact"/>
        <w:ind w:firstLine="470" w:firstLineChars="196"/>
        <w:rPr>
          <w:rFonts w:ascii="仿宋" w:hAnsi="仿宋" w:eastAsia="仿宋" w:cs="仿宋"/>
          <w:sz w:val="24"/>
        </w:rPr>
      </w:pPr>
      <w:r>
        <w:rPr>
          <w:rFonts w:hint="eastAsia" w:ascii="仿宋" w:hAnsi="仿宋" w:eastAsia="仿宋" w:cs="仿宋"/>
          <w:sz w:val="24"/>
        </w:rPr>
        <w:t>4.1.3乙方承诺的具体的运输及回单时效见附件一：全国各地区运输及回单时效。</w:t>
      </w:r>
    </w:p>
    <w:p>
      <w:pPr>
        <w:spacing w:line="460" w:lineRule="exact"/>
        <w:ind w:firstLine="470" w:firstLineChars="196"/>
        <w:rPr>
          <w:rFonts w:ascii="仿宋" w:hAnsi="仿宋" w:eastAsia="仿宋" w:cs="仿宋"/>
          <w:sz w:val="24"/>
        </w:rPr>
      </w:pPr>
      <w:r>
        <w:rPr>
          <w:rFonts w:hint="eastAsia" w:ascii="仿宋" w:hAnsi="仿宋" w:eastAsia="仿宋" w:cs="仿宋"/>
          <w:sz w:val="24"/>
        </w:rPr>
        <w:t>4.2质量要求</w:t>
      </w:r>
    </w:p>
    <w:p>
      <w:pPr>
        <w:spacing w:line="460" w:lineRule="exact"/>
        <w:ind w:firstLine="470" w:firstLineChars="196"/>
        <w:rPr>
          <w:rFonts w:ascii="仿宋" w:hAnsi="仿宋" w:eastAsia="仿宋" w:cs="仿宋"/>
          <w:sz w:val="24"/>
        </w:rPr>
      </w:pPr>
      <w:r>
        <w:rPr>
          <w:rFonts w:hint="eastAsia" w:ascii="仿宋" w:hAnsi="仿宋" w:eastAsia="仿宋" w:cs="仿宋"/>
          <w:sz w:val="24"/>
        </w:rPr>
        <w:t>乙方必须按照甲方要求，将货物安全、完整、完好地运输至目的地，且货物包装无短缺、损坏，无人为的质变。</w:t>
      </w:r>
    </w:p>
    <w:p>
      <w:pPr>
        <w:spacing w:line="460" w:lineRule="exact"/>
        <w:ind w:firstLine="470" w:firstLineChars="196"/>
        <w:rPr>
          <w:rFonts w:ascii="仿宋" w:hAnsi="仿宋" w:eastAsia="仿宋" w:cs="仿宋"/>
          <w:sz w:val="24"/>
        </w:rPr>
      </w:pPr>
      <w:r>
        <w:rPr>
          <w:rFonts w:hint="eastAsia" w:ascii="仿宋" w:hAnsi="仿宋" w:eastAsia="仿宋" w:cs="仿宋"/>
          <w:sz w:val="24"/>
        </w:rPr>
        <w:t>4.3运输规范规范要求</w:t>
      </w:r>
    </w:p>
    <w:p>
      <w:pPr>
        <w:spacing w:line="460" w:lineRule="exact"/>
        <w:ind w:firstLine="470" w:firstLineChars="196"/>
        <w:rPr>
          <w:rFonts w:ascii="仿宋" w:hAnsi="仿宋" w:eastAsia="仿宋" w:cs="仿宋"/>
          <w:sz w:val="24"/>
        </w:rPr>
      </w:pPr>
      <w:r>
        <w:rPr>
          <w:rFonts w:hint="eastAsia" w:ascii="仿宋" w:hAnsi="仿宋" w:eastAsia="仿宋" w:cs="仿宋"/>
          <w:sz w:val="24"/>
        </w:rPr>
        <w:t>乙方必须按照甲方《运输规范》要求进行运输进行操作。</w:t>
      </w:r>
    </w:p>
    <w:p>
      <w:pPr>
        <w:spacing w:line="460" w:lineRule="exact"/>
        <w:rPr>
          <w:rFonts w:ascii="仿宋" w:hAnsi="仿宋" w:eastAsia="仿宋" w:cs="仿宋"/>
          <w:sz w:val="24"/>
        </w:rPr>
      </w:pPr>
      <w:r>
        <w:rPr>
          <w:rFonts w:hint="eastAsia" w:ascii="仿宋" w:hAnsi="仿宋" w:eastAsia="仿宋" w:cs="仿宋"/>
          <w:sz w:val="24"/>
        </w:rPr>
        <w:t>5、费用结算</w:t>
      </w:r>
    </w:p>
    <w:p>
      <w:pPr>
        <w:spacing w:line="460" w:lineRule="exact"/>
        <w:rPr>
          <w:rFonts w:ascii="仿宋" w:hAnsi="仿宋" w:eastAsia="仿宋" w:cs="仿宋"/>
          <w:sz w:val="24"/>
        </w:rPr>
      </w:pPr>
      <w:r>
        <w:rPr>
          <w:rFonts w:hint="eastAsia" w:ascii="仿宋" w:hAnsi="仿宋" w:eastAsia="仿宋" w:cs="仿宋"/>
          <w:sz w:val="24"/>
        </w:rPr>
        <w:t xml:space="preserve">   5.1运输费用：根据《合作价格》（见附件二）计算，合同期内不再调整，除非经双方书面一致同意。  </w:t>
      </w:r>
    </w:p>
    <w:p>
      <w:pPr>
        <w:spacing w:line="460" w:lineRule="exact"/>
        <w:ind w:firstLine="480" w:firstLineChars="200"/>
        <w:rPr>
          <w:rFonts w:ascii="仿宋" w:hAnsi="仿宋" w:eastAsia="仿宋" w:cs="仿宋"/>
          <w:sz w:val="24"/>
        </w:rPr>
      </w:pPr>
      <w:r>
        <w:rPr>
          <w:rFonts w:hint="eastAsia" w:ascii="仿宋" w:hAnsi="仿宋" w:eastAsia="仿宋" w:cs="仿宋"/>
          <w:sz w:val="24"/>
        </w:rPr>
        <w:t>5.2结算账期：运输后，次月进行对账，白单回收完整按月结算，开票后1个月内付款。</w:t>
      </w:r>
    </w:p>
    <w:p>
      <w:pPr>
        <w:spacing w:line="460" w:lineRule="exact"/>
        <w:ind w:firstLine="480" w:firstLineChars="200"/>
        <w:rPr>
          <w:rFonts w:ascii="仿宋" w:hAnsi="仿宋" w:eastAsia="仿宋" w:cs="仿宋"/>
          <w:sz w:val="24"/>
        </w:rPr>
      </w:pPr>
      <w:r>
        <w:rPr>
          <w:rFonts w:hint="eastAsia" w:ascii="仿宋" w:hAnsi="仿宋" w:eastAsia="仿宋" w:cs="仿宋"/>
          <w:sz w:val="24"/>
        </w:rPr>
        <w:t>5.3结算方式 ：乙方同意按方式（  ）结算所产生物流运输费用：</w:t>
      </w:r>
    </w:p>
    <w:p>
      <w:pPr>
        <w:spacing w:line="460" w:lineRule="exact"/>
        <w:ind w:firstLine="480" w:firstLineChars="200"/>
        <w:rPr>
          <w:rFonts w:ascii="仿宋" w:hAnsi="仿宋" w:eastAsia="仿宋" w:cs="仿宋"/>
          <w:sz w:val="24"/>
        </w:rPr>
      </w:pPr>
      <w:r>
        <w:rPr>
          <w:rFonts w:hint="eastAsia" w:ascii="仿宋" w:hAnsi="仿宋" w:eastAsia="仿宋" w:cs="仿宋"/>
          <w:sz w:val="24"/>
        </w:rPr>
        <w:t>（1）银行承兑汇票：期限5个月。包含各类村镇银行。超过5个月按支付当天中国银行贴现率执行支付资金费用。</w:t>
      </w:r>
    </w:p>
    <w:p>
      <w:pPr>
        <w:spacing w:line="460" w:lineRule="exact"/>
        <w:ind w:firstLine="480" w:firstLineChars="200"/>
        <w:rPr>
          <w:rFonts w:ascii="仿宋" w:hAnsi="仿宋" w:eastAsia="仿宋" w:cs="仿宋"/>
          <w:sz w:val="24"/>
        </w:rPr>
      </w:pPr>
      <w:r>
        <w:rPr>
          <w:rFonts w:hint="eastAsia" w:ascii="仿宋" w:hAnsi="仿宋" w:eastAsia="仿宋" w:cs="仿宋"/>
          <w:sz w:val="24"/>
        </w:rPr>
        <w:t>（2）供应链金融产品：期限3个月。包含但不限于中企云链、云诺、云信、建信融通等平台；超过3个月按支付当天中国银行一年期贷款基准利率计算资金费用，由我司和供应商各自承担一半。</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（3）非银行金融机构出具的承兑汇票：期限4个月。包含但不限于财务公司、信托等机构。超过4个月按支付当天中国银行一年期贷款基准利率计算资金费用，由我司和供应商各自承担一半。    </w:t>
      </w:r>
    </w:p>
    <w:p>
      <w:pPr>
        <w:spacing w:line="460" w:lineRule="exact"/>
        <w:ind w:firstLine="435"/>
        <w:rPr>
          <w:rFonts w:ascii="仿宋" w:hAnsi="仿宋" w:eastAsia="仿宋" w:cs="仿宋"/>
          <w:sz w:val="24"/>
        </w:rPr>
      </w:pPr>
      <w:r>
        <w:rPr>
          <w:rFonts w:hint="eastAsia" w:ascii="仿宋" w:hAnsi="仿宋" w:eastAsia="仿宋" w:cs="仿宋"/>
          <w:sz w:val="24"/>
        </w:rPr>
        <w:t>5.4结算程序：乙方在每月10号前（节假日顺延），向甲方提供上月度费用清单，甲方核对无误后通知乙方开具增值税专用发票，甲方在收到发票后1个月内付款，回单未回齐将延迟付款直至回单回齐。</w:t>
      </w:r>
    </w:p>
    <w:p>
      <w:pPr>
        <w:spacing w:line="460" w:lineRule="exact"/>
        <w:ind w:firstLine="435"/>
        <w:rPr>
          <w:rFonts w:ascii="仿宋" w:hAnsi="仿宋" w:eastAsia="仿宋" w:cs="仿宋"/>
          <w:sz w:val="24"/>
        </w:rPr>
      </w:pPr>
      <w:r>
        <w:rPr>
          <w:rFonts w:hint="eastAsia" w:ascii="仿宋" w:hAnsi="仿宋" w:eastAsia="仿宋" w:cs="仿宋"/>
          <w:sz w:val="24"/>
        </w:rPr>
        <w:t>5.5本合同中价格均为不含税价格，如遇国家税率调整，含税运费需按国家税率调整政策执行，并提供增值税专用发票。</w:t>
      </w:r>
    </w:p>
    <w:p>
      <w:pPr>
        <w:spacing w:line="460" w:lineRule="exact"/>
        <w:rPr>
          <w:rFonts w:ascii="仿宋" w:hAnsi="仿宋" w:eastAsia="仿宋" w:cs="仿宋"/>
          <w:sz w:val="24"/>
        </w:rPr>
      </w:pPr>
      <w:r>
        <w:rPr>
          <w:rFonts w:hint="eastAsia" w:ascii="仿宋" w:hAnsi="仿宋" w:eastAsia="仿宋" w:cs="仿宋"/>
          <w:sz w:val="24"/>
        </w:rPr>
        <w:t>6、甲方的权利与义务</w:t>
      </w:r>
    </w:p>
    <w:p>
      <w:pPr>
        <w:spacing w:line="460" w:lineRule="exact"/>
        <w:ind w:firstLine="435"/>
        <w:rPr>
          <w:rFonts w:ascii="仿宋" w:hAnsi="仿宋" w:eastAsia="仿宋" w:cs="仿宋"/>
          <w:sz w:val="24"/>
        </w:rPr>
      </w:pPr>
      <w:r>
        <w:rPr>
          <w:rFonts w:hint="eastAsia" w:ascii="仿宋" w:hAnsi="仿宋" w:eastAsia="仿宋" w:cs="仿宋"/>
          <w:sz w:val="24"/>
        </w:rPr>
        <w:t>6.1甲方有权要求乙方根据“发运单”要求把货物运输到目的地。</w:t>
      </w:r>
    </w:p>
    <w:p>
      <w:pPr>
        <w:spacing w:line="460" w:lineRule="exact"/>
        <w:ind w:firstLine="435"/>
        <w:rPr>
          <w:rFonts w:ascii="仿宋" w:hAnsi="仿宋" w:eastAsia="仿宋" w:cs="仿宋"/>
          <w:sz w:val="24"/>
        </w:rPr>
      </w:pPr>
      <w:r>
        <w:rPr>
          <w:rFonts w:hint="eastAsia" w:ascii="仿宋" w:hAnsi="仿宋" w:eastAsia="仿宋" w:cs="仿宋"/>
          <w:sz w:val="24"/>
        </w:rPr>
        <w:t>6.2货物托运后，甲方需要变更到货地点或收货人，或者取消托运时，有权向乙方提出变更“发运单”或解除托运的要求。但必须在乙方向客户交货之前通知乙方，并按实际区域及路程支付乙方费用。</w:t>
      </w:r>
    </w:p>
    <w:p>
      <w:pPr>
        <w:spacing w:line="460" w:lineRule="exact"/>
        <w:ind w:firstLine="480" w:firstLineChars="200"/>
        <w:rPr>
          <w:rFonts w:ascii="仿宋" w:hAnsi="仿宋" w:eastAsia="仿宋" w:cs="仿宋"/>
          <w:sz w:val="24"/>
        </w:rPr>
      </w:pPr>
      <w:r>
        <w:rPr>
          <w:rFonts w:hint="eastAsia" w:ascii="仿宋" w:hAnsi="仿宋" w:eastAsia="仿宋" w:cs="仿宋"/>
          <w:sz w:val="24"/>
        </w:rPr>
        <w:t>6.3若乙方出现违约行为或不满足甲方运输需求时，甲方有权单方面对乙方的承运区域及运输量进行调整，无需征得乙方同意。</w:t>
      </w:r>
    </w:p>
    <w:p>
      <w:pPr>
        <w:spacing w:line="460" w:lineRule="exact"/>
        <w:ind w:firstLine="480" w:firstLineChars="200"/>
        <w:rPr>
          <w:rFonts w:ascii="仿宋" w:hAnsi="仿宋" w:eastAsia="仿宋" w:cs="仿宋"/>
          <w:sz w:val="24"/>
        </w:rPr>
      </w:pPr>
      <w:r>
        <w:rPr>
          <w:rFonts w:hint="eastAsia" w:ascii="仿宋" w:hAnsi="仿宋" w:eastAsia="仿宋" w:cs="仿宋"/>
          <w:sz w:val="24"/>
        </w:rPr>
        <w:t>6.4合同有效期内，甲方有权对乙方进行月度考核（考核办法详见附件四），并根据考核结果对乙方业务量进行调整。</w:t>
      </w:r>
    </w:p>
    <w:p>
      <w:pPr>
        <w:spacing w:line="460" w:lineRule="exact"/>
        <w:ind w:firstLine="480" w:firstLineChars="200"/>
        <w:rPr>
          <w:rFonts w:ascii="仿宋" w:hAnsi="仿宋" w:eastAsia="仿宋" w:cs="仿宋"/>
          <w:sz w:val="24"/>
        </w:rPr>
      </w:pPr>
      <w:r>
        <w:rPr>
          <w:rFonts w:hint="eastAsia" w:ascii="仿宋" w:hAnsi="仿宋" w:eastAsia="仿宋" w:cs="仿宋"/>
          <w:sz w:val="24"/>
        </w:rPr>
        <w:t>6.5试用期满（合同起始三个月），甲方有权根据试用期内考核情况单方面决定是否与乙方继续合作。如试用期满后甲方认定乙方为合格承运商继续与乙方合作，乙方无权拒绝，否则乙方所交履约保证金甲方不予退还。若是甲方认为乙方考核不过关，则有权立即解除本合同且无需承担违约责任。</w:t>
      </w:r>
    </w:p>
    <w:p>
      <w:pPr>
        <w:spacing w:line="460" w:lineRule="exact"/>
        <w:ind w:firstLine="435"/>
        <w:rPr>
          <w:rFonts w:ascii="仿宋" w:hAnsi="仿宋" w:eastAsia="仿宋" w:cs="仿宋"/>
          <w:sz w:val="24"/>
        </w:rPr>
      </w:pPr>
      <w:r>
        <w:rPr>
          <w:rFonts w:hint="eastAsia" w:ascii="仿宋" w:hAnsi="仿宋" w:eastAsia="仿宋" w:cs="仿宋"/>
          <w:sz w:val="24"/>
        </w:rPr>
        <w:t>6.6甲方应及时向乙方报备运输计划。</w:t>
      </w:r>
    </w:p>
    <w:p>
      <w:pPr>
        <w:spacing w:line="460" w:lineRule="exact"/>
        <w:ind w:firstLine="435"/>
        <w:rPr>
          <w:rFonts w:ascii="仿宋" w:hAnsi="仿宋" w:eastAsia="仿宋" w:cs="仿宋"/>
          <w:sz w:val="24"/>
        </w:rPr>
      </w:pPr>
      <w:r>
        <w:rPr>
          <w:rFonts w:hint="eastAsia" w:ascii="仿宋" w:hAnsi="仿宋" w:eastAsia="仿宋" w:cs="仿宋"/>
          <w:sz w:val="24"/>
        </w:rPr>
        <w:t>6.7甲方不得在货物中夹带、藏匿国家禁运货物，危险品，易燃、易爆物品，如有违反，由甲方承担相应的责任。</w:t>
      </w:r>
    </w:p>
    <w:p>
      <w:pPr>
        <w:spacing w:line="460" w:lineRule="exact"/>
        <w:ind w:firstLine="435"/>
        <w:rPr>
          <w:rFonts w:ascii="仿宋" w:hAnsi="仿宋" w:eastAsia="仿宋" w:cs="仿宋"/>
          <w:sz w:val="24"/>
        </w:rPr>
      </w:pPr>
      <w:r>
        <w:rPr>
          <w:rFonts w:hint="eastAsia" w:ascii="仿宋" w:hAnsi="仿宋" w:eastAsia="仿宋" w:cs="仿宋"/>
          <w:sz w:val="24"/>
        </w:rPr>
        <w:t>6.8乙方须在试用期前以公对公方式缴纳人民币30万元整（大写：叁拾万元整）履约保证金，未按时缴纳履约保证金甲方将没收乙方人民币1万元（大写：人民币壹万元整）投标保证金并终止合同。</w:t>
      </w:r>
    </w:p>
    <w:p>
      <w:pPr>
        <w:spacing w:line="460" w:lineRule="exact"/>
        <w:ind w:firstLine="435"/>
        <w:rPr>
          <w:rFonts w:ascii="仿宋" w:hAnsi="仿宋" w:eastAsia="仿宋" w:cs="仿宋"/>
          <w:sz w:val="24"/>
        </w:rPr>
      </w:pPr>
      <w:r>
        <w:rPr>
          <w:rFonts w:hint="eastAsia" w:ascii="仿宋" w:hAnsi="仿宋" w:eastAsia="仿宋" w:cs="仿宋"/>
          <w:sz w:val="24"/>
        </w:rPr>
        <w:t>6.9甲方在乙方按照约定履行本合同全部义务之后，根据乙方提交的履约保证金退回申请，返还乙方的履约保证金，人民币30万元（大写：人民币叁拾万元整），甲方将履约保证金以银行转账方式无息支付给乙方，因乙方操作失误需扣罚违约金或乙方发生违约行为，并未按照合同约定支付违约金，甲方有权从履约保证金中扣除相应款项。</w:t>
      </w:r>
    </w:p>
    <w:p>
      <w:pPr>
        <w:spacing w:line="460" w:lineRule="exact"/>
        <w:ind w:firstLine="435"/>
        <w:rPr>
          <w:rFonts w:ascii="仿宋" w:hAnsi="仿宋" w:eastAsia="仿宋" w:cs="仿宋"/>
          <w:sz w:val="24"/>
        </w:rPr>
      </w:pPr>
      <w:r>
        <w:rPr>
          <w:rFonts w:hint="eastAsia" w:ascii="仿宋" w:hAnsi="仿宋" w:eastAsia="仿宋" w:cs="仿宋"/>
          <w:sz w:val="24"/>
        </w:rPr>
        <w:t>6.10甲方有权利根据实际情况调整《运输规范》要求。</w:t>
      </w:r>
    </w:p>
    <w:p>
      <w:pPr>
        <w:spacing w:line="460" w:lineRule="exact"/>
        <w:ind w:firstLine="435"/>
        <w:rPr>
          <w:rFonts w:ascii="仿宋" w:hAnsi="仿宋" w:eastAsia="仿宋" w:cs="仿宋"/>
          <w:sz w:val="24"/>
        </w:rPr>
      </w:pPr>
      <w:r>
        <w:rPr>
          <w:rFonts w:hint="eastAsia" w:ascii="仿宋" w:hAnsi="仿宋" w:eastAsia="仿宋" w:cs="仿宋"/>
          <w:sz w:val="24"/>
        </w:rPr>
        <w:t>6.11本合同附件《报价函》所载的运量仅为预估数，本合同的签署并不限制甲方另行委托第三方物流企业进行货物运输。</w:t>
      </w:r>
    </w:p>
    <w:p>
      <w:pPr>
        <w:spacing w:line="460" w:lineRule="exact"/>
        <w:rPr>
          <w:rFonts w:ascii="仿宋" w:hAnsi="仿宋" w:eastAsia="仿宋" w:cs="仿宋"/>
          <w:sz w:val="24"/>
        </w:rPr>
      </w:pPr>
      <w:r>
        <w:rPr>
          <w:rFonts w:hint="eastAsia" w:ascii="仿宋" w:hAnsi="仿宋" w:eastAsia="仿宋" w:cs="仿宋"/>
          <w:sz w:val="24"/>
        </w:rPr>
        <w:t>7、乙方的权利与义务</w:t>
      </w:r>
    </w:p>
    <w:p>
      <w:pPr>
        <w:spacing w:line="460" w:lineRule="exact"/>
        <w:ind w:firstLine="435"/>
        <w:rPr>
          <w:rFonts w:ascii="仿宋" w:hAnsi="仿宋" w:eastAsia="仿宋" w:cs="仿宋"/>
          <w:sz w:val="24"/>
        </w:rPr>
      </w:pPr>
      <w:r>
        <w:rPr>
          <w:rFonts w:hint="eastAsia" w:ascii="仿宋" w:hAnsi="仿宋" w:eastAsia="仿宋" w:cs="仿宋"/>
          <w:sz w:val="24"/>
        </w:rPr>
        <w:t xml:space="preserve">7.1乙方有权要求甲方按照约定支付费用。 </w:t>
      </w:r>
    </w:p>
    <w:p>
      <w:pPr>
        <w:spacing w:line="460" w:lineRule="exact"/>
        <w:ind w:firstLine="435"/>
        <w:rPr>
          <w:rFonts w:ascii="仿宋" w:hAnsi="仿宋" w:eastAsia="仿宋" w:cs="仿宋"/>
          <w:sz w:val="24"/>
        </w:rPr>
      </w:pPr>
      <w:r>
        <w:rPr>
          <w:rFonts w:hint="eastAsia" w:ascii="仿宋" w:hAnsi="仿宋" w:eastAsia="仿宋" w:cs="仿宋"/>
          <w:sz w:val="24"/>
        </w:rPr>
        <w:t>7.2甲方不按2.3要求包装货物的，乙方有权拒绝承运；但已验货承运的，不得以此抗辩。</w:t>
      </w:r>
    </w:p>
    <w:p>
      <w:pPr>
        <w:spacing w:line="460" w:lineRule="exact"/>
        <w:ind w:firstLine="435"/>
        <w:rPr>
          <w:rFonts w:ascii="仿宋" w:hAnsi="仿宋" w:eastAsia="仿宋" w:cs="仿宋"/>
          <w:sz w:val="24"/>
        </w:rPr>
      </w:pPr>
      <w:r>
        <w:rPr>
          <w:rFonts w:hint="eastAsia" w:ascii="仿宋" w:hAnsi="仿宋" w:eastAsia="仿宋" w:cs="仿宋"/>
          <w:sz w:val="24"/>
        </w:rPr>
        <w:t>7.3乙方所提供的车辆必须是技术性能良好，证照齐全、合法、有效，并购买了交强险、商业险、物流责任险。若甲方需要，乙方须向甲方提供承运车辆及驾驶员的基本资料复印件（如行驶证、营运证、保险卡、驾驶证、身份证等）。</w:t>
      </w:r>
    </w:p>
    <w:p>
      <w:pPr>
        <w:spacing w:line="460" w:lineRule="exact"/>
        <w:ind w:firstLine="435"/>
        <w:rPr>
          <w:rFonts w:ascii="仿宋" w:hAnsi="仿宋" w:eastAsia="仿宋" w:cs="仿宋"/>
          <w:sz w:val="24"/>
        </w:rPr>
      </w:pPr>
      <w:r>
        <w:rPr>
          <w:rFonts w:hint="eastAsia" w:ascii="仿宋" w:hAnsi="仿宋" w:eastAsia="仿宋" w:cs="仿宋"/>
          <w:sz w:val="24"/>
        </w:rPr>
        <w:t>7.4乙方应按照本合同第4条中有关运输要求的约定进行承运，并应符合四川天成明超电缆有限公司质量、环境、职业健康安全管理体系的要求。（详见附件三：安全环保协议）。</w:t>
      </w:r>
    </w:p>
    <w:p>
      <w:pPr>
        <w:spacing w:line="460" w:lineRule="exact"/>
        <w:ind w:firstLine="435"/>
        <w:rPr>
          <w:rFonts w:ascii="仿宋" w:hAnsi="仿宋" w:eastAsia="仿宋" w:cs="仿宋"/>
          <w:sz w:val="24"/>
        </w:rPr>
      </w:pPr>
      <w:r>
        <w:rPr>
          <w:rFonts w:hint="eastAsia" w:ascii="仿宋" w:hAnsi="仿宋" w:eastAsia="仿宋" w:cs="仿宋"/>
          <w:sz w:val="24"/>
        </w:rPr>
        <w:t>7.5乙方的跟车人员和司机进入甲方厂区时应按甲方公司要求佩戴安全帽，做好安全防护措施。</w:t>
      </w:r>
    </w:p>
    <w:p>
      <w:pPr>
        <w:spacing w:line="460" w:lineRule="exact"/>
        <w:ind w:firstLine="435"/>
        <w:rPr>
          <w:rFonts w:ascii="仿宋" w:hAnsi="仿宋" w:eastAsia="仿宋" w:cs="仿宋"/>
          <w:sz w:val="24"/>
        </w:rPr>
      </w:pPr>
      <w:r>
        <w:rPr>
          <w:rFonts w:hint="eastAsia" w:ascii="仿宋" w:hAnsi="仿宋" w:eastAsia="仿宋" w:cs="仿宋"/>
          <w:sz w:val="24"/>
        </w:rPr>
        <w:t>7.6乙方指派人员均应当为具体相应资质，经过安全培训且合格。货物运输过程中出现的所有事故（除货物属性或不可抗力引起），由乙方自行负责，与甲方无关。如因此给甲方造成损失的，应由乙方承担赔偿责任。乙方派出的运输工具和人员的行为视为乙方的行为，因此给甲方或者第三人造成的损失由乙方承担。</w:t>
      </w:r>
    </w:p>
    <w:p>
      <w:pPr>
        <w:spacing w:line="460" w:lineRule="exact"/>
        <w:ind w:firstLine="435"/>
        <w:rPr>
          <w:rFonts w:ascii="仿宋" w:hAnsi="仿宋" w:eastAsia="仿宋" w:cs="仿宋"/>
          <w:sz w:val="24"/>
        </w:rPr>
      </w:pPr>
      <w:r>
        <w:rPr>
          <w:rFonts w:hint="eastAsia" w:ascii="仿宋" w:hAnsi="仿宋" w:eastAsia="仿宋" w:cs="仿宋"/>
          <w:sz w:val="24"/>
        </w:rPr>
        <w:t>7.7运送地为高速公路直达地，乙方应首选高速公路运输，若因乙方未选择高速公路运输造成延迟到达给甲方造成损失，乙方应承担赔偿责任。</w:t>
      </w:r>
    </w:p>
    <w:p>
      <w:pPr>
        <w:spacing w:line="460" w:lineRule="exact"/>
        <w:ind w:firstLine="435"/>
        <w:rPr>
          <w:rFonts w:ascii="仿宋" w:hAnsi="仿宋" w:eastAsia="仿宋" w:cs="仿宋"/>
          <w:sz w:val="24"/>
        </w:rPr>
      </w:pPr>
      <w:r>
        <w:rPr>
          <w:rFonts w:hint="eastAsia" w:ascii="仿宋" w:hAnsi="仿宋" w:eastAsia="仿宋" w:cs="仿宋"/>
          <w:sz w:val="24"/>
        </w:rPr>
        <w:t>7.8本协议为甲方商业机密，乙方不得向任何第三方泄露，否则，由此所产生的后果由乙方负责。</w:t>
      </w:r>
    </w:p>
    <w:p>
      <w:pPr>
        <w:spacing w:line="460" w:lineRule="exact"/>
        <w:ind w:firstLine="435"/>
        <w:rPr>
          <w:rFonts w:ascii="仿宋" w:hAnsi="仿宋" w:eastAsia="仿宋" w:cs="仿宋"/>
          <w:sz w:val="24"/>
        </w:rPr>
      </w:pPr>
      <w:r>
        <w:rPr>
          <w:rFonts w:hint="eastAsia" w:ascii="仿宋" w:hAnsi="仿宋" w:eastAsia="仿宋" w:cs="仿宋"/>
          <w:sz w:val="24"/>
        </w:rPr>
        <w:t>7.9乙方有权对甲方《运输规范》要求提出异议，甲方提出一周后无异议视为接受相关要求并按《运输规范》要求执行。</w:t>
      </w:r>
    </w:p>
    <w:p>
      <w:pPr>
        <w:spacing w:line="460" w:lineRule="exact"/>
        <w:rPr>
          <w:rFonts w:ascii="仿宋" w:hAnsi="仿宋" w:eastAsia="仿宋" w:cs="仿宋"/>
          <w:sz w:val="24"/>
        </w:rPr>
      </w:pPr>
      <w:r>
        <w:rPr>
          <w:rFonts w:hint="eastAsia" w:ascii="仿宋" w:hAnsi="仿宋" w:eastAsia="仿宋" w:cs="仿宋"/>
          <w:sz w:val="24"/>
        </w:rPr>
        <w:t>8、违约责任</w:t>
      </w:r>
    </w:p>
    <w:p>
      <w:pPr>
        <w:spacing w:line="460" w:lineRule="exact"/>
        <w:ind w:firstLine="480" w:firstLineChars="200"/>
        <w:rPr>
          <w:rFonts w:ascii="仿宋" w:hAnsi="仿宋" w:eastAsia="仿宋" w:cs="仿宋"/>
          <w:sz w:val="24"/>
        </w:rPr>
      </w:pPr>
      <w:r>
        <w:rPr>
          <w:rFonts w:hint="eastAsia" w:ascii="仿宋" w:hAnsi="仿宋" w:eastAsia="仿宋" w:cs="仿宋"/>
          <w:sz w:val="24"/>
        </w:rPr>
        <w:t>8.1甲乙任何一方违反诚信商业、有贿赂行为的，守约方有权不再向违约方支付所有应付但未付的款项，并有权解除合同。</w:t>
      </w:r>
    </w:p>
    <w:p>
      <w:pPr>
        <w:spacing w:line="460" w:lineRule="exact"/>
        <w:ind w:firstLine="480" w:firstLineChars="200"/>
        <w:rPr>
          <w:rFonts w:ascii="仿宋" w:hAnsi="仿宋" w:eastAsia="仿宋" w:cs="仿宋"/>
          <w:sz w:val="24"/>
        </w:rPr>
      </w:pPr>
      <w:r>
        <w:rPr>
          <w:rFonts w:hint="eastAsia" w:ascii="仿宋" w:hAnsi="仿宋" w:eastAsia="仿宋" w:cs="仿宋"/>
          <w:sz w:val="24"/>
        </w:rPr>
        <w:t>8.2本协议任何一方不履行或不完全履行本协议中所列之义务或有违反本协议条款的行为，便构成违约。违约方应按合同约定相关条款承担违约责任，并承担守约方因此遭受的一切经济损失，守约方有权于未向对方支付的款项中直接抵扣上述违约金和损失赔偿。</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8.3甲方无理由延期支付运费超过15天的，乙方可按所欠运费的0.4‰/天收取违约金，最高不超过应支付金额的4%。如甲方延期付款超出一个月，乙方有权终止本合同。      </w:t>
      </w:r>
    </w:p>
    <w:p>
      <w:pPr>
        <w:spacing w:line="460" w:lineRule="exact"/>
        <w:ind w:firstLine="480" w:firstLineChars="200"/>
        <w:rPr>
          <w:rFonts w:ascii="仿宋" w:hAnsi="仿宋" w:eastAsia="仿宋" w:cs="仿宋"/>
          <w:sz w:val="24"/>
        </w:rPr>
      </w:pPr>
      <w:r>
        <w:rPr>
          <w:rFonts w:hint="eastAsia" w:ascii="仿宋" w:hAnsi="仿宋" w:eastAsia="仿宋" w:cs="仿宋"/>
          <w:sz w:val="24"/>
        </w:rPr>
        <w:t>8.4因乙方原因造成运输货物晚到的，乙方应按以下方式向甲方支付违约金：每晚到一天1000元，并承担因货物迟到导致甲方的一切损失包括不限于甲方客户一切索赔交货期罚款、误工费等有形或无形损失。且甲方有权在应付给乙方的运费中直接扣减掉违约金或相关损失，对此乙方无争议地予以认可和接受。</w:t>
      </w:r>
    </w:p>
    <w:p>
      <w:pPr>
        <w:spacing w:line="460" w:lineRule="exact"/>
        <w:ind w:firstLine="480" w:firstLineChars="200"/>
        <w:rPr>
          <w:rFonts w:ascii="仿宋" w:hAnsi="仿宋" w:eastAsia="仿宋" w:cs="仿宋"/>
          <w:sz w:val="24"/>
        </w:rPr>
      </w:pPr>
      <w:r>
        <w:rPr>
          <w:rFonts w:hint="eastAsia" w:ascii="仿宋" w:hAnsi="仿宋" w:eastAsia="仿宋" w:cs="仿宋"/>
          <w:sz w:val="24"/>
        </w:rPr>
        <w:t>8.5乙方运输回单未按时按质量交回至甲方，甲方有权延迟付款，回单按时回收率由甲方次月5日前按月进行统计，如当月回单未按时回齐，甲方将按回单准时率百分比支付运费，余下部分运费将延迟至下个月支付，若下月回单仍未回到，甲方有权停止所有付款直至回单回齐。若乙方造成回单丢失，则应补签回单，如因乙方原因导致甲方回单丢失，给甲方造成的一切经济损失由乙方承担。</w:t>
      </w:r>
    </w:p>
    <w:p>
      <w:pPr>
        <w:spacing w:line="460" w:lineRule="exact"/>
        <w:ind w:firstLine="480" w:firstLineChars="200"/>
        <w:rPr>
          <w:rFonts w:ascii="仿宋" w:hAnsi="仿宋" w:eastAsia="仿宋" w:cs="仿宋"/>
          <w:sz w:val="24"/>
        </w:rPr>
      </w:pPr>
      <w:r>
        <w:rPr>
          <w:rFonts w:hint="eastAsia" w:ascii="仿宋" w:hAnsi="仿宋" w:eastAsia="仿宋" w:cs="仿宋"/>
          <w:sz w:val="24"/>
        </w:rPr>
        <w:t>8.6乙方在一个月内延迟到货或回单3次，六个月内累计延迟到货或回单 5 次，送货延迟到货超过3天，退货时长超过15天，回单延迟超过30天，一个月内违反甲方考核办法3次，一个季度违反甲方考核办法10次，甲方有权终止本合同并按8.4、8.5条款追究乙方的违约责任。</w:t>
      </w:r>
    </w:p>
    <w:p>
      <w:pPr>
        <w:spacing w:line="460" w:lineRule="exact"/>
        <w:ind w:firstLine="480" w:firstLineChars="200"/>
        <w:rPr>
          <w:rFonts w:ascii="仿宋" w:hAnsi="仿宋" w:eastAsia="仿宋" w:cs="仿宋"/>
          <w:sz w:val="24"/>
        </w:rPr>
      </w:pPr>
      <w:r>
        <w:rPr>
          <w:rFonts w:hint="eastAsia" w:ascii="仿宋" w:hAnsi="仿宋" w:eastAsia="仿宋" w:cs="仿宋"/>
          <w:sz w:val="24"/>
        </w:rPr>
        <w:t>8.7运输过程中若货物发生灭失、短少、变质、污染、损坏、迟到，乙方应赔偿甲方因此遭受的所有损失，包括但不限于货物销售所得货款（依据销售合同、交货单等凭证）、包装费、运杂费、以及所引起的交货延迟导致的客户罚款等。</w:t>
      </w:r>
    </w:p>
    <w:p>
      <w:pPr>
        <w:spacing w:line="460" w:lineRule="exact"/>
        <w:ind w:firstLine="480" w:firstLineChars="200"/>
        <w:rPr>
          <w:rFonts w:ascii="仿宋" w:hAnsi="仿宋" w:eastAsia="仿宋" w:cs="仿宋"/>
          <w:sz w:val="24"/>
        </w:rPr>
      </w:pPr>
      <w:r>
        <w:rPr>
          <w:rFonts w:hint="eastAsia" w:ascii="仿宋" w:hAnsi="仿宋" w:eastAsia="仿宋" w:cs="仿宋"/>
          <w:sz w:val="24"/>
        </w:rPr>
        <w:t>8.8如乙方违反甲方《运输规范》违规操作导致一切损失将由乙方承担。</w:t>
      </w:r>
    </w:p>
    <w:p>
      <w:pPr>
        <w:spacing w:line="460" w:lineRule="exact"/>
        <w:rPr>
          <w:rFonts w:ascii="仿宋" w:hAnsi="仿宋" w:eastAsia="仿宋" w:cs="仿宋"/>
          <w:sz w:val="24"/>
        </w:rPr>
      </w:pPr>
      <w:r>
        <w:rPr>
          <w:rFonts w:hint="eastAsia" w:ascii="仿宋" w:hAnsi="仿宋" w:eastAsia="仿宋" w:cs="仿宋"/>
          <w:sz w:val="24"/>
        </w:rPr>
        <w:t>9、争议解决方式</w:t>
      </w:r>
    </w:p>
    <w:p>
      <w:pPr>
        <w:spacing w:line="460" w:lineRule="exact"/>
        <w:ind w:firstLine="480" w:firstLineChars="200"/>
        <w:rPr>
          <w:rFonts w:ascii="仿宋" w:hAnsi="仿宋" w:eastAsia="仿宋" w:cs="仿宋"/>
          <w:sz w:val="24"/>
        </w:rPr>
      </w:pPr>
      <w:r>
        <w:rPr>
          <w:rFonts w:hint="eastAsia" w:ascii="仿宋" w:hAnsi="仿宋" w:eastAsia="仿宋" w:cs="仿宋"/>
          <w:sz w:val="24"/>
        </w:rPr>
        <w:t>因履行本合同发生的一切争议双方可协商解决，协商不成的，任何一方可向甲方所在地人民法院起诉。</w:t>
      </w:r>
    </w:p>
    <w:p>
      <w:pPr>
        <w:spacing w:line="460" w:lineRule="exact"/>
        <w:rPr>
          <w:rFonts w:ascii="仿宋" w:hAnsi="仿宋" w:eastAsia="仿宋" w:cs="仿宋"/>
          <w:sz w:val="24"/>
        </w:rPr>
      </w:pPr>
      <w:r>
        <w:rPr>
          <w:rFonts w:hint="eastAsia" w:ascii="仿宋" w:hAnsi="仿宋" w:eastAsia="仿宋" w:cs="仿宋"/>
          <w:sz w:val="24"/>
        </w:rPr>
        <w:t>10、合同终止</w:t>
      </w:r>
    </w:p>
    <w:p>
      <w:pPr>
        <w:spacing w:line="460" w:lineRule="exact"/>
        <w:ind w:firstLine="480" w:firstLineChars="200"/>
        <w:rPr>
          <w:rFonts w:ascii="仿宋" w:hAnsi="仿宋" w:eastAsia="仿宋" w:cs="仿宋"/>
          <w:sz w:val="24"/>
        </w:rPr>
      </w:pPr>
      <w:r>
        <w:rPr>
          <w:rFonts w:hint="eastAsia" w:ascii="仿宋" w:hAnsi="仿宋" w:eastAsia="仿宋" w:cs="仿宋"/>
          <w:sz w:val="24"/>
        </w:rPr>
        <w:t>10.1如因不可抗力（如战争、五级以上地震等）无法履行本合同的，乙方须在不可抗力发生后十日内通知甲方，在甲方收到上述通知时本合同自动终止，甲乙双方承担各自的损失，互不追究责任。</w:t>
      </w:r>
    </w:p>
    <w:p>
      <w:pPr>
        <w:spacing w:line="460" w:lineRule="exact"/>
        <w:ind w:firstLine="480" w:firstLineChars="200"/>
        <w:rPr>
          <w:rFonts w:ascii="仿宋" w:hAnsi="仿宋" w:eastAsia="仿宋" w:cs="仿宋"/>
          <w:sz w:val="24"/>
        </w:rPr>
      </w:pPr>
      <w:r>
        <w:rPr>
          <w:rFonts w:hint="eastAsia" w:ascii="仿宋" w:hAnsi="仿宋" w:eastAsia="仿宋" w:cs="仿宋"/>
          <w:sz w:val="24"/>
        </w:rPr>
        <w:t>10.2除乙方违约导致合同提前解除或终止外，甲、乙任何一方提前解除本合同，需提前一个月以书面形式通知另一方，征得另一方的同意。</w:t>
      </w:r>
    </w:p>
    <w:p>
      <w:pPr>
        <w:spacing w:line="460" w:lineRule="exact"/>
        <w:ind w:firstLine="480" w:firstLineChars="200"/>
        <w:rPr>
          <w:rFonts w:ascii="仿宋" w:hAnsi="仿宋" w:eastAsia="仿宋" w:cs="仿宋"/>
          <w:sz w:val="24"/>
        </w:rPr>
      </w:pPr>
      <w:r>
        <w:rPr>
          <w:rFonts w:hint="eastAsia" w:ascii="仿宋" w:hAnsi="仿宋" w:eastAsia="仿宋" w:cs="仿宋"/>
          <w:sz w:val="24"/>
        </w:rPr>
        <w:t>10.3 若任意一方多次违反本合同，另一方有权单方面终止该合同并追究违约方的违约责任。</w:t>
      </w:r>
    </w:p>
    <w:p>
      <w:pPr>
        <w:spacing w:line="460" w:lineRule="exact"/>
        <w:rPr>
          <w:rFonts w:ascii="仿宋" w:hAnsi="仿宋" w:eastAsia="仿宋" w:cs="仿宋"/>
          <w:sz w:val="24"/>
        </w:rPr>
      </w:pPr>
      <w:r>
        <w:rPr>
          <w:rFonts w:hint="eastAsia" w:ascii="仿宋" w:hAnsi="仿宋" w:eastAsia="仿宋" w:cs="仿宋"/>
          <w:sz w:val="24"/>
        </w:rPr>
        <w:t>11、合同生效</w:t>
      </w:r>
    </w:p>
    <w:p>
      <w:pPr>
        <w:spacing w:line="460" w:lineRule="exact"/>
        <w:ind w:firstLine="480" w:firstLineChars="200"/>
        <w:rPr>
          <w:rFonts w:ascii="仿宋" w:hAnsi="仿宋" w:eastAsia="仿宋" w:cs="仿宋"/>
          <w:sz w:val="24"/>
        </w:rPr>
      </w:pPr>
      <w:r>
        <w:rPr>
          <w:rFonts w:hint="eastAsia" w:ascii="仿宋" w:hAnsi="仿宋" w:eastAsia="仿宋" w:cs="仿宋"/>
          <w:sz w:val="24"/>
        </w:rPr>
        <w:t>11.1本合同自双方签字盖章并且在乙方试用期日起生效，有效期为1年，其中包含试用期 3个月。</w:t>
      </w:r>
    </w:p>
    <w:p>
      <w:pPr>
        <w:spacing w:line="460" w:lineRule="exact"/>
        <w:ind w:firstLine="480" w:firstLineChars="200"/>
        <w:rPr>
          <w:rFonts w:ascii="仿宋" w:hAnsi="仿宋" w:eastAsia="仿宋" w:cs="仿宋"/>
          <w:sz w:val="24"/>
        </w:rPr>
      </w:pPr>
      <w:r>
        <w:rPr>
          <w:rFonts w:hint="eastAsia" w:ascii="仿宋" w:hAnsi="仿宋" w:eastAsia="仿宋" w:cs="仿宋"/>
          <w:sz w:val="24"/>
        </w:rPr>
        <w:t>履约保证金电汇信息：</w:t>
      </w:r>
    </w:p>
    <w:p>
      <w:pPr>
        <w:spacing w:line="460" w:lineRule="exact"/>
        <w:ind w:firstLine="480" w:firstLineChars="200"/>
        <w:rPr>
          <w:rFonts w:ascii="仿宋" w:hAnsi="仿宋" w:eastAsia="仿宋" w:cs="仿宋"/>
          <w:sz w:val="24"/>
        </w:rPr>
      </w:pPr>
      <w:r>
        <w:rPr>
          <w:rFonts w:hint="eastAsia" w:ascii="仿宋" w:hAnsi="仿宋" w:eastAsia="仿宋" w:cs="仿宋"/>
          <w:sz w:val="24"/>
        </w:rPr>
        <w:t>开户名称：四川天成明超电缆有限公司</w:t>
      </w:r>
    </w:p>
    <w:p>
      <w:pPr>
        <w:spacing w:line="460" w:lineRule="exact"/>
        <w:ind w:firstLine="480" w:firstLineChars="200"/>
        <w:rPr>
          <w:rFonts w:ascii="仿宋" w:hAnsi="仿宋" w:eastAsia="仿宋" w:cs="仿宋"/>
          <w:sz w:val="24"/>
        </w:rPr>
      </w:pPr>
      <w:r>
        <w:rPr>
          <w:rFonts w:hint="eastAsia" w:ascii="仿宋" w:hAnsi="仿宋" w:eastAsia="仿宋" w:cs="仿宋"/>
          <w:sz w:val="24"/>
        </w:rPr>
        <w:t>开户行： 成都农村商业银行股份有限公司羊安支行</w:t>
      </w:r>
    </w:p>
    <w:p>
      <w:pPr>
        <w:spacing w:line="460" w:lineRule="exact"/>
        <w:ind w:firstLine="480" w:firstLineChars="200"/>
        <w:rPr>
          <w:rFonts w:ascii="仿宋" w:hAnsi="仿宋" w:eastAsia="仿宋" w:cs="仿宋"/>
          <w:sz w:val="24"/>
        </w:rPr>
      </w:pPr>
      <w:r>
        <w:rPr>
          <w:rFonts w:hint="eastAsia" w:ascii="仿宋" w:hAnsi="仿宋" w:eastAsia="仿宋" w:cs="仿宋"/>
          <w:sz w:val="24"/>
        </w:rPr>
        <w:t>账号：1000 0600 0769 8610</w:t>
      </w:r>
    </w:p>
    <w:p>
      <w:pPr>
        <w:spacing w:line="460" w:lineRule="exact"/>
        <w:ind w:firstLine="480" w:firstLineChars="200"/>
        <w:rPr>
          <w:rFonts w:ascii="仿宋" w:hAnsi="仿宋" w:eastAsia="仿宋" w:cs="仿宋"/>
          <w:sz w:val="24"/>
        </w:rPr>
      </w:pPr>
      <w:r>
        <w:rPr>
          <w:rFonts w:hint="eastAsia" w:ascii="仿宋" w:hAnsi="仿宋" w:eastAsia="仿宋" w:cs="仿宋"/>
          <w:sz w:val="24"/>
        </w:rPr>
        <w:t>11.2本合同壹式肆份，甲乙双方各执贰份，具有同等法律效力。</w:t>
      </w:r>
    </w:p>
    <w:p>
      <w:pPr>
        <w:spacing w:line="460" w:lineRule="exact"/>
        <w:ind w:firstLine="480" w:firstLineChars="200"/>
        <w:rPr>
          <w:rFonts w:ascii="仿宋" w:hAnsi="仿宋" w:eastAsia="仿宋" w:cs="仿宋"/>
          <w:sz w:val="24"/>
        </w:rPr>
      </w:pPr>
      <w:r>
        <w:rPr>
          <w:rFonts w:hint="eastAsia" w:ascii="仿宋" w:hAnsi="仿宋" w:eastAsia="仿宋" w:cs="仿宋"/>
          <w:sz w:val="24"/>
        </w:rPr>
        <w:t>11.3四川天成明超电缆有限公司运输外包招标文件、澄清文件、乙方投标文件、本合同以及本合同签订之后双方之间达成的与本合同有关的任何文件均为合同的组成部分，各文件相互补充和解释，如有不明确或不一致之处，以形成在后者为准。</w:t>
      </w:r>
    </w:p>
    <w:p>
      <w:pPr>
        <w:spacing w:line="460" w:lineRule="exact"/>
        <w:ind w:firstLine="470" w:firstLineChars="196"/>
        <w:rPr>
          <w:rFonts w:ascii="仿宋" w:hAnsi="仿宋" w:eastAsia="仿宋" w:cs="仿宋"/>
          <w:sz w:val="24"/>
        </w:rPr>
      </w:pPr>
      <w:r>
        <w:rPr>
          <w:rFonts w:hint="eastAsia" w:ascii="仿宋" w:hAnsi="仿宋" w:eastAsia="仿宋" w:cs="仿宋"/>
          <w:sz w:val="24"/>
        </w:rPr>
        <w:t>11.4本合同包含双方关于此事项的全部约定。双方在此之前达成的任何口头或书面的协议或约定，如果与本合同冲突，则以本合同内容为准。本合同的任何修改应当以书面方式做出并经双方签字或盖章才能生效。</w:t>
      </w:r>
    </w:p>
    <w:p>
      <w:pPr>
        <w:spacing w:line="460" w:lineRule="exact"/>
        <w:rPr>
          <w:rFonts w:ascii="仿宋" w:hAnsi="仿宋" w:eastAsia="仿宋" w:cs="仿宋"/>
          <w:sz w:val="24"/>
        </w:rPr>
      </w:pPr>
      <w:r>
        <w:rPr>
          <w:rFonts w:hint="eastAsia" w:ascii="仿宋" w:hAnsi="仿宋" w:eastAsia="仿宋" w:cs="仿宋"/>
          <w:sz w:val="24"/>
        </w:rPr>
        <w:t>12、其它约定</w:t>
      </w:r>
    </w:p>
    <w:p>
      <w:pPr>
        <w:spacing w:line="460" w:lineRule="exact"/>
        <w:ind w:firstLine="470" w:firstLineChars="196"/>
        <w:rPr>
          <w:rFonts w:ascii="仿宋" w:hAnsi="仿宋" w:eastAsia="仿宋" w:cs="仿宋"/>
          <w:sz w:val="24"/>
        </w:rPr>
      </w:pPr>
      <w:r>
        <w:rPr>
          <w:rFonts w:hint="eastAsia" w:ascii="仿宋" w:hAnsi="仿宋" w:eastAsia="仿宋" w:cs="仿宋"/>
          <w:sz w:val="24"/>
        </w:rPr>
        <w:t>12.1本合同为固定单价，双方确认价格已充分考虑经营风险、燃油价格上涨、节假日运费上涨、卸货费用等综合因素，合同履行过程中不作价格调整。</w:t>
      </w:r>
    </w:p>
    <w:p>
      <w:pPr>
        <w:spacing w:line="460" w:lineRule="exact"/>
        <w:ind w:firstLine="470" w:firstLineChars="196"/>
        <w:rPr>
          <w:rFonts w:ascii="仿宋" w:hAnsi="仿宋" w:eastAsia="仿宋" w:cs="仿宋"/>
          <w:sz w:val="24"/>
        </w:rPr>
      </w:pPr>
      <w:r>
        <w:rPr>
          <w:rFonts w:hint="eastAsia" w:ascii="仿宋" w:hAnsi="仿宋" w:eastAsia="仿宋" w:cs="仿宋"/>
          <w:sz w:val="24"/>
        </w:rPr>
        <w:t>12.2甲乙双方确认以本合同首页的地址作为本协议双方就任何通知、文件等文书送达给对方的合法地址，以及法院等法律文书送达给双方的合法地址，双方及法院以快递或其他形式寄送到该地址的，不论对方拒收与否，均视为送达。如一方变更送达地址的，须提前三日书面通知相对方，否则以本合同约定的地址为送达地址。因未作出通知而产生的损失，由未通知方自行承担。</w:t>
      </w:r>
    </w:p>
    <w:p>
      <w:pPr>
        <w:spacing w:line="460" w:lineRule="exact"/>
        <w:ind w:firstLine="470" w:firstLineChars="196"/>
        <w:rPr>
          <w:rFonts w:ascii="仿宋" w:hAnsi="仿宋" w:eastAsia="仿宋" w:cs="仿宋"/>
          <w:sz w:val="24"/>
        </w:rPr>
      </w:pPr>
      <w:r>
        <w:rPr>
          <w:rFonts w:hint="eastAsia" w:ascii="仿宋" w:hAnsi="仿宋" w:eastAsia="仿宋" w:cs="仿宋"/>
          <w:sz w:val="24"/>
        </w:rPr>
        <w:t>12.3本合同未尽事宜，双方可另行签订补充协议，但规定不得违反国家、省、市有关法律和法规，如与本合同有冲突而补充协议中不作注明的，以补充协议为准，补充协议与本合同具有同等法律效力。</w:t>
      </w:r>
    </w:p>
    <w:p>
      <w:pPr>
        <w:spacing w:line="460" w:lineRule="exact"/>
        <w:ind w:firstLine="470" w:firstLineChars="196"/>
        <w:rPr>
          <w:rFonts w:ascii="仿宋" w:hAnsi="仿宋" w:eastAsia="仿宋" w:cs="仿宋"/>
          <w:sz w:val="24"/>
        </w:rPr>
      </w:pPr>
      <w:r>
        <w:rPr>
          <w:rFonts w:hint="eastAsia" w:ascii="仿宋" w:hAnsi="仿宋" w:eastAsia="仿宋" w:cs="仿宋"/>
          <w:sz w:val="24"/>
        </w:rPr>
        <w:t>12.4本合同为长期运输合同，在合同有效期内，如甲方有其它货物要通过以上线路运输，可根据实际情况通知乙方及时安排组织运输车辆。一旦乙方接受甲方的委托，承担该批次货物的运输任务，则视为乙方同意按本合同所规定的条款办理各项事宜。</w:t>
      </w:r>
    </w:p>
    <w:p>
      <w:pPr>
        <w:spacing w:line="460" w:lineRule="exact"/>
        <w:ind w:firstLine="480" w:firstLineChars="200"/>
        <w:rPr>
          <w:rFonts w:ascii="仿宋" w:hAnsi="仿宋" w:eastAsia="仿宋" w:cs="仿宋"/>
          <w:sz w:val="24"/>
        </w:rPr>
      </w:pPr>
      <w:r>
        <w:rPr>
          <w:rFonts w:hint="eastAsia" w:ascii="仿宋" w:hAnsi="仿宋" w:eastAsia="仿宋" w:cs="仿宋"/>
          <w:sz w:val="24"/>
        </w:rPr>
        <w:t>附件一：全国各地区运输及回单时效要求</w:t>
      </w:r>
    </w:p>
    <w:p>
      <w:pPr>
        <w:spacing w:line="460" w:lineRule="exact"/>
        <w:ind w:firstLine="480" w:firstLineChars="200"/>
        <w:rPr>
          <w:rFonts w:ascii="仿宋" w:hAnsi="仿宋" w:eastAsia="仿宋" w:cs="仿宋"/>
          <w:sz w:val="24"/>
        </w:rPr>
      </w:pPr>
      <w:r>
        <w:rPr>
          <w:rFonts w:hint="eastAsia" w:ascii="仿宋" w:hAnsi="仿宋" w:eastAsia="仿宋" w:cs="仿宋"/>
          <w:sz w:val="24"/>
        </w:rPr>
        <w:t>附件二：合作价格</w:t>
      </w:r>
    </w:p>
    <w:p>
      <w:pPr>
        <w:spacing w:line="460" w:lineRule="exact"/>
        <w:ind w:firstLine="480" w:firstLineChars="200"/>
        <w:rPr>
          <w:rFonts w:ascii="仿宋" w:hAnsi="仿宋" w:eastAsia="仿宋" w:cs="仿宋"/>
          <w:sz w:val="24"/>
        </w:rPr>
      </w:pPr>
      <w:r>
        <w:rPr>
          <w:rFonts w:hint="eastAsia" w:ascii="仿宋" w:hAnsi="仿宋" w:eastAsia="仿宋" w:cs="仿宋"/>
          <w:sz w:val="24"/>
        </w:rPr>
        <w:t>附件三：安全环保协议</w:t>
      </w:r>
    </w:p>
    <w:p>
      <w:pPr>
        <w:spacing w:line="460" w:lineRule="exact"/>
        <w:ind w:firstLine="480" w:firstLineChars="200"/>
        <w:rPr>
          <w:rFonts w:ascii="仿宋" w:hAnsi="仿宋" w:eastAsia="仿宋" w:cs="仿宋"/>
          <w:sz w:val="24"/>
        </w:rPr>
      </w:pPr>
      <w:r>
        <w:rPr>
          <w:rFonts w:hint="eastAsia" w:ascii="仿宋" w:hAnsi="仿宋" w:eastAsia="仿宋" w:cs="仿宋"/>
          <w:sz w:val="24"/>
        </w:rPr>
        <w:t>附件四：四川天成明超电缆有限公司货物承运商考核办法</w:t>
      </w:r>
    </w:p>
    <w:p>
      <w:pPr>
        <w:spacing w:line="460" w:lineRule="exact"/>
        <w:ind w:firstLine="480" w:firstLineChars="200"/>
        <w:rPr>
          <w:rFonts w:ascii="仿宋" w:hAnsi="仿宋" w:eastAsia="仿宋" w:cs="仿宋"/>
          <w:sz w:val="24"/>
        </w:rPr>
      </w:pPr>
      <w:r>
        <w:rPr>
          <w:rFonts w:hint="eastAsia" w:ascii="仿宋" w:hAnsi="仿宋" w:eastAsia="仿宋" w:cs="仿宋"/>
          <w:sz w:val="24"/>
        </w:rPr>
        <w:t>附件五：廉洁协议书</w:t>
      </w:r>
    </w:p>
    <w:p>
      <w:pPr>
        <w:spacing w:line="460" w:lineRule="exact"/>
        <w:ind w:firstLine="480" w:firstLineChars="200"/>
        <w:rPr>
          <w:rFonts w:ascii="仿宋" w:hAnsi="仿宋" w:eastAsia="仿宋" w:cs="仿宋"/>
          <w:sz w:val="24"/>
        </w:rPr>
      </w:pPr>
      <w:r>
        <w:rPr>
          <w:rFonts w:hint="eastAsia" w:ascii="仿宋" w:hAnsi="仿宋" w:eastAsia="仿宋" w:cs="仿宋"/>
          <w:sz w:val="24"/>
        </w:rPr>
        <w:t>以下无正文。</w:t>
      </w:r>
    </w:p>
    <w:p>
      <w:pPr>
        <w:spacing w:line="460" w:lineRule="exact"/>
        <w:ind w:firstLine="480" w:firstLineChars="200"/>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 xml:space="preserve">甲    方： 四川天成明超电缆有限公司（盖章）      乙    方：                               </w:t>
      </w:r>
    </w:p>
    <w:p>
      <w:pPr>
        <w:spacing w:line="460" w:lineRule="exact"/>
        <w:jc w:val="left"/>
        <w:rPr>
          <w:rFonts w:ascii="仿宋" w:hAnsi="仿宋" w:eastAsia="仿宋" w:cs="仿宋"/>
          <w:sz w:val="24"/>
        </w:rPr>
      </w:pPr>
      <w:r>
        <w:rPr>
          <w:rFonts w:hint="eastAsia" w:ascii="仿宋" w:hAnsi="仿宋" w:eastAsia="仿宋" w:cs="仿宋"/>
          <w:sz w:val="24"/>
        </w:rPr>
        <w:t xml:space="preserve">代表人：                                         代表人：                          日    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 xml:space="preserve">日           日    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附件一：全国各地区运输及回单时效要求</w:t>
      </w:r>
    </w:p>
    <w:p>
      <w:pPr>
        <w:spacing w:line="460" w:lineRule="exact"/>
        <w:rPr>
          <w:rFonts w:ascii="仿宋" w:hAnsi="仿宋" w:eastAsia="仿宋" w:cs="仿宋"/>
          <w:sz w:val="24"/>
        </w:rPr>
      </w:pPr>
    </w:p>
    <w:tbl>
      <w:tblPr>
        <w:tblStyle w:val="38"/>
        <w:tblW w:w="8350" w:type="dxa"/>
        <w:jc w:val="center"/>
        <w:tblLayout w:type="fixed"/>
        <w:tblCellMar>
          <w:top w:w="0" w:type="dxa"/>
          <w:left w:w="108" w:type="dxa"/>
          <w:bottom w:w="0" w:type="dxa"/>
          <w:right w:w="108" w:type="dxa"/>
        </w:tblCellMar>
      </w:tblPr>
      <w:tblGrid>
        <w:gridCol w:w="1829"/>
        <w:gridCol w:w="2126"/>
        <w:gridCol w:w="2127"/>
        <w:gridCol w:w="2268"/>
      </w:tblGrid>
      <w:tr>
        <w:tblPrEx>
          <w:tblCellMar>
            <w:top w:w="0" w:type="dxa"/>
            <w:left w:w="108" w:type="dxa"/>
            <w:bottom w:w="0" w:type="dxa"/>
            <w:right w:w="108" w:type="dxa"/>
          </w:tblCellMar>
        </w:tblPrEx>
        <w:trPr>
          <w:trHeight w:val="301" w:hRule="atLeast"/>
          <w:jc w:val="center"/>
        </w:trPr>
        <w:tc>
          <w:tcPr>
            <w:tcW w:w="8349" w:type="dxa"/>
            <w:gridSpan w:val="4"/>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tcPr>
          <w:p>
            <w:pPr>
              <w:jc w:val="center"/>
              <w:textAlignment w:val="center"/>
              <w:rPr>
                <w:rFonts w:ascii="仿宋" w:hAnsi="仿宋" w:eastAsia="仿宋" w:cs="仿宋"/>
                <w:sz w:val="24"/>
              </w:rPr>
            </w:pPr>
            <w:r>
              <w:rPr>
                <w:rFonts w:hint="eastAsia" w:ascii="仿宋" w:hAnsi="仿宋" w:eastAsia="仿宋" w:cs="仿宋"/>
                <w:sz w:val="24"/>
              </w:rPr>
              <w:t>省内运输时效及回单时效要求</w:t>
            </w:r>
          </w:p>
        </w:tc>
      </w:tr>
      <w:tr>
        <w:tblPrEx>
          <w:tblCellMar>
            <w:top w:w="0" w:type="dxa"/>
            <w:left w:w="108" w:type="dxa"/>
            <w:bottom w:w="0" w:type="dxa"/>
            <w:right w:w="108" w:type="dxa"/>
          </w:tblCellMar>
        </w:tblPrEx>
        <w:trPr>
          <w:trHeight w:val="301"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区域</w:t>
            </w:r>
          </w:p>
        </w:tc>
        <w:tc>
          <w:tcPr>
            <w:tcW w:w="2126" w:type="dxa"/>
            <w:tcBorders>
              <w:top w:val="single" w:color="auto" w:sz="4" w:space="0"/>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运输时效要求</w:t>
            </w:r>
          </w:p>
        </w:tc>
        <w:tc>
          <w:tcPr>
            <w:tcW w:w="2127" w:type="dxa"/>
            <w:tcBorders>
              <w:top w:val="single" w:color="000000" w:sz="12" w:space="0"/>
              <w:left w:val="single" w:color="auto"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电子回单时效要求</w:t>
            </w:r>
          </w:p>
        </w:tc>
        <w:tc>
          <w:tcPr>
            <w:tcW w:w="2268"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纸质回单时效要求</w:t>
            </w:r>
          </w:p>
        </w:tc>
      </w:tr>
      <w:tr>
        <w:tblPrEx>
          <w:tblCellMar>
            <w:top w:w="0" w:type="dxa"/>
            <w:left w:w="108" w:type="dxa"/>
            <w:bottom w:w="0" w:type="dxa"/>
            <w:right w:w="108" w:type="dxa"/>
          </w:tblCellMar>
        </w:tblPrEx>
        <w:trPr>
          <w:trHeight w:val="21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成都二圈层</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即日达</w:t>
            </w:r>
          </w:p>
        </w:tc>
        <w:tc>
          <w:tcPr>
            <w:tcW w:w="2127" w:type="dxa"/>
            <w:vMerge w:val="restart"/>
            <w:tcBorders>
              <w:top w:val="nil"/>
              <w:left w:val="single" w:color="auto"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到货后</w:t>
            </w:r>
            <w:r>
              <w:rPr>
                <w:rFonts w:ascii="仿宋" w:hAnsi="仿宋" w:eastAsia="仿宋" w:cs="仿宋"/>
                <w:sz w:val="24"/>
              </w:rPr>
              <w:t>24</w:t>
            </w:r>
            <w:r>
              <w:rPr>
                <w:rFonts w:hint="eastAsia" w:ascii="仿宋" w:hAnsi="仿宋" w:eastAsia="仿宋" w:cs="仿宋"/>
                <w:sz w:val="24"/>
              </w:rPr>
              <w:t>小时内</w:t>
            </w:r>
          </w:p>
        </w:tc>
        <w:tc>
          <w:tcPr>
            <w:tcW w:w="2268" w:type="dxa"/>
            <w:vMerge w:val="restart"/>
            <w:tcBorders>
              <w:top w:val="nil"/>
              <w:left w:val="nil"/>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货到4天内，如甲方有加急要求，乙方需配合做加急处理。</w:t>
            </w:r>
          </w:p>
        </w:tc>
      </w:tr>
      <w:tr>
        <w:tblPrEx>
          <w:tblCellMar>
            <w:top w:w="0" w:type="dxa"/>
            <w:left w:w="108" w:type="dxa"/>
            <w:bottom w:w="0" w:type="dxa"/>
            <w:right w:w="108" w:type="dxa"/>
          </w:tblCellMar>
        </w:tblPrEx>
        <w:trPr>
          <w:trHeight w:val="33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成都三圈层</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即日达</w:t>
            </w:r>
          </w:p>
        </w:tc>
        <w:tc>
          <w:tcPr>
            <w:tcW w:w="2127" w:type="dxa"/>
            <w:vMerge w:val="continue"/>
            <w:tcBorders>
              <w:top w:val="nil"/>
              <w:left w:val="single" w:color="auto" w:sz="4" w:space="0"/>
              <w:bottom w:val="single" w:color="000000" w:sz="12" w:space="0"/>
              <w:right w:val="single" w:color="000000" w:sz="12" w:space="0"/>
            </w:tcBorders>
            <w:vAlign w:val="center"/>
          </w:tcPr>
          <w:p>
            <w:pPr>
              <w:rPr>
                <w:rFonts w:ascii="仿宋" w:hAnsi="仿宋" w:eastAsia="仿宋" w:cs="仿宋"/>
                <w:sz w:val="24"/>
              </w:rPr>
            </w:pPr>
          </w:p>
        </w:tc>
        <w:tc>
          <w:tcPr>
            <w:tcW w:w="2268" w:type="dxa"/>
            <w:vMerge w:val="continue"/>
            <w:tcBorders>
              <w:top w:val="nil"/>
              <w:left w:val="nil"/>
              <w:bottom w:val="single" w:color="000000" w:sz="12" w:space="0"/>
              <w:right w:val="single" w:color="000000" w:sz="12"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33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川南区域</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次日达</w:t>
            </w:r>
          </w:p>
        </w:tc>
        <w:tc>
          <w:tcPr>
            <w:tcW w:w="2127" w:type="dxa"/>
            <w:vMerge w:val="continue"/>
            <w:tcBorders>
              <w:top w:val="nil"/>
              <w:left w:val="single" w:color="auto" w:sz="4" w:space="0"/>
              <w:bottom w:val="single" w:color="000000" w:sz="12" w:space="0"/>
              <w:right w:val="single" w:color="000000" w:sz="12" w:space="0"/>
            </w:tcBorders>
            <w:vAlign w:val="center"/>
          </w:tcPr>
          <w:p>
            <w:pPr>
              <w:rPr>
                <w:rFonts w:ascii="仿宋" w:hAnsi="仿宋" w:eastAsia="仿宋" w:cs="仿宋"/>
                <w:sz w:val="24"/>
              </w:rPr>
            </w:pPr>
          </w:p>
        </w:tc>
        <w:tc>
          <w:tcPr>
            <w:tcW w:w="2268" w:type="dxa"/>
            <w:vMerge w:val="continue"/>
            <w:tcBorders>
              <w:top w:val="nil"/>
              <w:left w:val="nil"/>
              <w:bottom w:val="single" w:color="000000" w:sz="12" w:space="0"/>
              <w:right w:val="single" w:color="000000" w:sz="12"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33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川北区域</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次日达</w:t>
            </w:r>
          </w:p>
        </w:tc>
        <w:tc>
          <w:tcPr>
            <w:tcW w:w="2127" w:type="dxa"/>
            <w:vMerge w:val="continue"/>
            <w:tcBorders>
              <w:top w:val="nil"/>
              <w:left w:val="single" w:color="auto" w:sz="4" w:space="0"/>
              <w:bottom w:val="single" w:color="000000" w:sz="12" w:space="0"/>
              <w:right w:val="single" w:color="000000" w:sz="12" w:space="0"/>
            </w:tcBorders>
            <w:vAlign w:val="center"/>
          </w:tcPr>
          <w:p>
            <w:pPr>
              <w:rPr>
                <w:rFonts w:ascii="仿宋" w:hAnsi="仿宋" w:eastAsia="仿宋" w:cs="仿宋"/>
                <w:sz w:val="24"/>
              </w:rPr>
            </w:pPr>
          </w:p>
        </w:tc>
        <w:tc>
          <w:tcPr>
            <w:tcW w:w="2268" w:type="dxa"/>
            <w:vMerge w:val="continue"/>
            <w:tcBorders>
              <w:top w:val="nil"/>
              <w:left w:val="nil"/>
              <w:bottom w:val="single" w:color="000000" w:sz="12" w:space="0"/>
              <w:right w:val="single" w:color="000000" w:sz="12"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33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川西区域</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次日达</w:t>
            </w:r>
          </w:p>
        </w:tc>
        <w:tc>
          <w:tcPr>
            <w:tcW w:w="2127" w:type="dxa"/>
            <w:vMerge w:val="continue"/>
            <w:tcBorders>
              <w:top w:val="nil"/>
              <w:left w:val="single" w:color="auto" w:sz="4" w:space="0"/>
              <w:bottom w:val="single" w:color="000000" w:sz="12" w:space="0"/>
              <w:right w:val="single" w:color="000000" w:sz="12" w:space="0"/>
            </w:tcBorders>
            <w:vAlign w:val="center"/>
          </w:tcPr>
          <w:p>
            <w:pPr>
              <w:rPr>
                <w:rFonts w:ascii="仿宋" w:hAnsi="仿宋" w:eastAsia="仿宋" w:cs="仿宋"/>
                <w:sz w:val="24"/>
              </w:rPr>
            </w:pPr>
          </w:p>
        </w:tc>
        <w:tc>
          <w:tcPr>
            <w:tcW w:w="2268" w:type="dxa"/>
            <w:vMerge w:val="continue"/>
            <w:tcBorders>
              <w:top w:val="nil"/>
              <w:left w:val="nil"/>
              <w:bottom w:val="single" w:color="000000" w:sz="12" w:space="0"/>
              <w:right w:val="single" w:color="000000" w:sz="12"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330" w:hRule="atLeast"/>
          <w:jc w:val="center"/>
        </w:trPr>
        <w:tc>
          <w:tcPr>
            <w:tcW w:w="1828"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川东区域</w:t>
            </w:r>
          </w:p>
        </w:tc>
        <w:tc>
          <w:tcPr>
            <w:tcW w:w="2126" w:type="dxa"/>
            <w:tcBorders>
              <w:top w:val="nil"/>
              <w:left w:val="nil"/>
              <w:bottom w:val="single" w:color="000000" w:sz="12" w:space="0"/>
              <w:right w:val="single" w:color="auto"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次日达</w:t>
            </w:r>
          </w:p>
        </w:tc>
        <w:tc>
          <w:tcPr>
            <w:tcW w:w="2127" w:type="dxa"/>
            <w:vMerge w:val="continue"/>
            <w:tcBorders>
              <w:top w:val="nil"/>
              <w:left w:val="single" w:color="auto" w:sz="4" w:space="0"/>
              <w:bottom w:val="single" w:color="000000" w:sz="12" w:space="0"/>
              <w:right w:val="single" w:color="000000" w:sz="12" w:space="0"/>
            </w:tcBorders>
            <w:vAlign w:val="center"/>
          </w:tcPr>
          <w:p>
            <w:pPr>
              <w:rPr>
                <w:rFonts w:ascii="仿宋" w:hAnsi="仿宋" w:eastAsia="仿宋" w:cs="仿宋"/>
                <w:sz w:val="24"/>
              </w:rPr>
            </w:pPr>
          </w:p>
        </w:tc>
        <w:tc>
          <w:tcPr>
            <w:tcW w:w="2268" w:type="dxa"/>
            <w:vMerge w:val="continue"/>
            <w:tcBorders>
              <w:top w:val="nil"/>
              <w:left w:val="nil"/>
              <w:bottom w:val="single" w:color="000000" w:sz="12" w:space="0"/>
              <w:right w:val="single" w:color="000000" w:sz="12" w:space="0"/>
            </w:tcBorders>
            <w:vAlign w:val="center"/>
          </w:tcPr>
          <w:p>
            <w:pPr>
              <w:rPr>
                <w:rFonts w:ascii="仿宋" w:hAnsi="仿宋" w:eastAsia="仿宋" w:cs="仿宋"/>
                <w:sz w:val="24"/>
              </w:rPr>
            </w:pPr>
          </w:p>
        </w:tc>
      </w:tr>
    </w:tbl>
    <w:p>
      <w:pPr>
        <w:spacing w:line="460" w:lineRule="exact"/>
        <w:rPr>
          <w:rFonts w:ascii="仿宋" w:hAnsi="仿宋" w:eastAsia="仿宋" w:cs="仿宋"/>
          <w:sz w:val="24"/>
        </w:rPr>
      </w:pPr>
    </w:p>
    <w:tbl>
      <w:tblPr>
        <w:tblStyle w:val="38"/>
        <w:tblW w:w="82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7"/>
        <w:gridCol w:w="2269"/>
        <w:gridCol w:w="851"/>
        <w:gridCol w:w="851"/>
        <w:gridCol w:w="1418"/>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jc w:val="center"/>
        </w:trPr>
        <w:tc>
          <w:tcPr>
            <w:tcW w:w="8280" w:type="dxa"/>
            <w:gridSpan w:val="6"/>
            <w:tcBorders>
              <w:top w:val="single" w:color="auto" w:sz="8" w:space="0"/>
              <w:left w:val="single" w:color="auto" w:sz="8" w:space="0"/>
              <w:bottom w:val="single" w:color="auto" w:sz="8" w:space="0"/>
              <w:right w:val="single" w:color="auto" w:sz="8" w:space="0"/>
            </w:tcBorders>
          </w:tcPr>
          <w:p>
            <w:pPr>
              <w:spacing w:line="360" w:lineRule="auto"/>
              <w:jc w:val="center"/>
              <w:rPr>
                <w:rFonts w:ascii="仿宋" w:hAnsi="仿宋" w:eastAsia="仿宋" w:cs="仿宋"/>
                <w:sz w:val="24"/>
              </w:rPr>
            </w:pPr>
            <w:r>
              <w:rPr>
                <w:rFonts w:hint="eastAsia" w:ascii="仿宋" w:hAnsi="仿宋" w:eastAsia="仿宋" w:cs="仿宋"/>
                <w:sz w:val="24"/>
              </w:rPr>
              <w:t>省外配送及回单时效要求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jc w:val="center"/>
        </w:trPr>
        <w:tc>
          <w:tcPr>
            <w:tcW w:w="1047" w:type="dxa"/>
            <w:vMerge w:val="restart"/>
            <w:tcBorders>
              <w:top w:val="single" w:color="auto" w:sz="8" w:space="0"/>
              <w:left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区域</w:t>
            </w:r>
          </w:p>
        </w:tc>
        <w:tc>
          <w:tcPr>
            <w:tcW w:w="2269" w:type="dxa"/>
            <w:vMerge w:val="restart"/>
            <w:tcBorders>
              <w:top w:val="single" w:color="auto" w:sz="8" w:space="0"/>
              <w:left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省份城市</w:t>
            </w:r>
          </w:p>
        </w:tc>
        <w:tc>
          <w:tcPr>
            <w:tcW w:w="1702"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运输时效要求</w:t>
            </w:r>
          </w:p>
        </w:tc>
        <w:tc>
          <w:tcPr>
            <w:tcW w:w="1418" w:type="dxa"/>
            <w:vMerge w:val="restart"/>
            <w:tcBorders>
              <w:top w:val="single" w:color="auto" w:sz="8" w:space="0"/>
              <w:left w:val="single" w:color="auto" w:sz="8" w:space="0"/>
              <w:right w:val="single" w:color="auto" w:sz="8" w:space="0"/>
            </w:tcBorders>
          </w:tcPr>
          <w:p>
            <w:pPr>
              <w:spacing w:line="360" w:lineRule="auto"/>
              <w:jc w:val="center"/>
              <w:rPr>
                <w:rFonts w:ascii="仿宋" w:hAnsi="仿宋" w:eastAsia="仿宋" w:cs="仿宋"/>
                <w:sz w:val="24"/>
              </w:rPr>
            </w:pPr>
            <w:r>
              <w:rPr>
                <w:rFonts w:hint="eastAsia" w:ascii="仿宋" w:hAnsi="仿宋" w:eastAsia="仿宋" w:cs="仿宋"/>
                <w:sz w:val="24"/>
              </w:rPr>
              <w:t>电子回单时效要求</w:t>
            </w:r>
          </w:p>
        </w:tc>
        <w:tc>
          <w:tcPr>
            <w:tcW w:w="1844" w:type="dxa"/>
            <w:vMerge w:val="restart"/>
            <w:tcBorders>
              <w:top w:val="single" w:color="auto" w:sz="8" w:space="0"/>
              <w:left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纸质回单</w:t>
            </w:r>
          </w:p>
          <w:p>
            <w:pPr>
              <w:spacing w:line="360" w:lineRule="auto"/>
              <w:jc w:val="center"/>
              <w:rPr>
                <w:rFonts w:ascii="仿宋" w:hAnsi="仿宋" w:eastAsia="仿宋" w:cs="仿宋"/>
                <w:sz w:val="24"/>
              </w:rPr>
            </w:pPr>
            <w:r>
              <w:rPr>
                <w:rFonts w:hint="eastAsia" w:ascii="仿宋" w:hAnsi="仿宋" w:eastAsia="仿宋" w:cs="仿宋"/>
                <w:sz w:val="24"/>
              </w:rPr>
              <w:t>时效要求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jc w:val="center"/>
        </w:trPr>
        <w:tc>
          <w:tcPr>
            <w:tcW w:w="1047" w:type="dxa"/>
            <w:vMerge w:val="continue"/>
            <w:tcBorders>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p>
        </w:tc>
        <w:tc>
          <w:tcPr>
            <w:tcW w:w="2269" w:type="dxa"/>
            <w:vMerge w:val="continue"/>
            <w:tcBorders>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零担</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整车</w:t>
            </w:r>
          </w:p>
        </w:tc>
        <w:tc>
          <w:tcPr>
            <w:tcW w:w="1418" w:type="dxa"/>
            <w:vMerge w:val="continue"/>
            <w:tcBorders>
              <w:left w:val="single" w:color="auto" w:sz="8" w:space="0"/>
              <w:bottom w:val="single" w:color="auto" w:sz="8" w:space="0"/>
              <w:right w:val="single" w:color="auto" w:sz="8" w:space="0"/>
            </w:tcBorders>
          </w:tcPr>
          <w:p>
            <w:pPr>
              <w:spacing w:line="360" w:lineRule="auto"/>
              <w:jc w:val="center"/>
              <w:rPr>
                <w:rFonts w:ascii="仿宋" w:hAnsi="仿宋" w:eastAsia="仿宋" w:cs="仿宋"/>
                <w:sz w:val="24"/>
              </w:rPr>
            </w:pPr>
          </w:p>
        </w:tc>
        <w:tc>
          <w:tcPr>
            <w:tcW w:w="1844" w:type="dxa"/>
            <w:vMerge w:val="continue"/>
            <w:tcBorders>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华东</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江苏、安徽、浙江、福建、江西、山东</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3天</w:t>
            </w:r>
          </w:p>
        </w:tc>
        <w:tc>
          <w:tcPr>
            <w:tcW w:w="1418" w:type="dxa"/>
            <w:vMerge w:val="restart"/>
            <w:tcBorders>
              <w:top w:val="single" w:color="auto" w:sz="8" w:space="0"/>
              <w:left w:val="single" w:color="auto" w:sz="8" w:space="0"/>
              <w:bottom w:val="single" w:color="auto" w:sz="8" w:space="0"/>
              <w:right w:val="single" w:color="auto" w:sz="8" w:space="0"/>
            </w:tcBorders>
          </w:tcPr>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到货后</w:t>
            </w:r>
            <w:r>
              <w:rPr>
                <w:rFonts w:ascii="仿宋" w:hAnsi="仿宋" w:eastAsia="仿宋" w:cs="仿宋"/>
                <w:sz w:val="24"/>
              </w:rPr>
              <w:t>24</w:t>
            </w:r>
            <w:r>
              <w:rPr>
                <w:rFonts w:hint="eastAsia" w:ascii="仿宋" w:hAnsi="仿宋" w:eastAsia="仿宋" w:cs="仿宋"/>
                <w:sz w:val="24"/>
              </w:rPr>
              <w:t>小时内</w:t>
            </w:r>
          </w:p>
        </w:tc>
        <w:tc>
          <w:tcPr>
            <w:tcW w:w="1844" w:type="dxa"/>
            <w:vMerge w:val="restar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直送货物货到</w:t>
            </w:r>
            <w:r>
              <w:rPr>
                <w:rFonts w:ascii="仿宋" w:hAnsi="仿宋" w:eastAsia="仿宋" w:cs="仿宋"/>
                <w:sz w:val="24"/>
              </w:rPr>
              <w:t>7</w:t>
            </w:r>
            <w:r>
              <w:rPr>
                <w:rFonts w:hint="eastAsia" w:ascii="仿宋" w:hAnsi="仿宋" w:eastAsia="仿宋" w:cs="仿宋"/>
                <w:sz w:val="24"/>
              </w:rPr>
              <w:t>天内，托运货物货到</w:t>
            </w:r>
            <w:r>
              <w:rPr>
                <w:rFonts w:ascii="仿宋" w:hAnsi="仿宋" w:eastAsia="仿宋" w:cs="仿宋"/>
                <w:sz w:val="24"/>
              </w:rPr>
              <w:t>10</w:t>
            </w:r>
            <w:r>
              <w:rPr>
                <w:rFonts w:hint="eastAsia" w:ascii="仿宋" w:hAnsi="仿宋" w:eastAsia="仿宋" w:cs="仿宋"/>
                <w:sz w:val="24"/>
              </w:rPr>
              <w:t>天内如甲方有加急要求，乙方需配合做加急处理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华南</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广东、广西、海南</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华中</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湖北、湖南、河南</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华北</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北京、天津、河北、山西</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3天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西北</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宁夏、青海、陕西、甘肃</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西南</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云南、贵州、重庆</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东北</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辽宁、吉林、黑龙江</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4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w:t>
            </w:r>
          </w:p>
        </w:tc>
        <w:tc>
          <w:tcPr>
            <w:tcW w:w="226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cs="仿宋"/>
                <w:sz w:val="24"/>
              </w:rPr>
            </w:pPr>
            <w:r>
              <w:rPr>
                <w:rFonts w:hint="eastAsia" w:ascii="仿宋" w:hAnsi="仿宋" w:eastAsia="仿宋" w:cs="仿宋"/>
                <w:sz w:val="24"/>
              </w:rPr>
              <w:t>内蒙古、新疆、西藏</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天</w:t>
            </w:r>
          </w:p>
        </w:tc>
        <w:tc>
          <w:tcPr>
            <w:tcW w:w="85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4天</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c>
          <w:tcPr>
            <w:tcW w:w="1844"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bl>
    <w:p>
      <w:pPr>
        <w:spacing w:line="460" w:lineRule="exact"/>
        <w:rPr>
          <w:rFonts w:ascii="仿宋" w:hAnsi="仿宋" w:eastAsia="仿宋" w:cs="仿宋"/>
          <w:sz w:val="24"/>
        </w:rPr>
      </w:pPr>
      <w:r>
        <w:rPr>
          <w:rFonts w:hint="eastAsia" w:ascii="仿宋" w:hAnsi="仿宋" w:eastAsia="仿宋" w:cs="仿宋"/>
          <w:sz w:val="24"/>
        </w:rPr>
        <w:t>*到货时效说明：</w:t>
      </w:r>
    </w:p>
    <w:p>
      <w:pPr>
        <w:spacing w:line="460" w:lineRule="exact"/>
        <w:rPr>
          <w:rFonts w:ascii="仿宋" w:hAnsi="仿宋" w:eastAsia="仿宋" w:cs="仿宋"/>
          <w:sz w:val="24"/>
        </w:rPr>
      </w:pPr>
      <w:r>
        <w:rPr>
          <w:rFonts w:hint="eastAsia" w:ascii="仿宋" w:hAnsi="仿宋" w:eastAsia="仿宋" w:cs="仿宋"/>
          <w:sz w:val="24"/>
        </w:rPr>
        <w:t>时效为1天的最迟到货时间为24小时内，时效为2天的最迟到货时间为接单后的48小时内如此类推，最终时间应按甲方“四川天成明超电缆有限公司发货申请单”上要求到货日期为准，若超出该时间将视为货物迟到，甲方有权按8.4向乙方进行索赔。</w:t>
      </w:r>
    </w:p>
    <w:p>
      <w:pPr>
        <w:spacing w:line="460" w:lineRule="exact"/>
        <w:rPr>
          <w:rFonts w:ascii="仿宋" w:hAnsi="仿宋" w:eastAsia="仿宋" w:cs="仿宋"/>
          <w:sz w:val="24"/>
        </w:rPr>
      </w:pPr>
      <w:r>
        <w:rPr>
          <w:rFonts w:hint="eastAsia" w:ascii="仿宋" w:hAnsi="仿宋" w:eastAsia="仿宋" w:cs="仿宋"/>
          <w:sz w:val="24"/>
        </w:rPr>
        <w:t>*回单时效说明：</w:t>
      </w:r>
    </w:p>
    <w:p>
      <w:pPr>
        <w:spacing w:line="460" w:lineRule="exact"/>
        <w:rPr>
          <w:rFonts w:ascii="仿宋" w:hAnsi="仿宋" w:eastAsia="仿宋" w:cs="仿宋"/>
          <w:sz w:val="24"/>
        </w:rPr>
      </w:pPr>
      <w:r>
        <w:rPr>
          <w:rFonts w:hint="eastAsia" w:ascii="仿宋" w:hAnsi="仿宋" w:eastAsia="仿宋" w:cs="仿宋"/>
          <w:sz w:val="24"/>
        </w:rPr>
        <w:t>回单计算时效以“四川天成明超电缆有限公司发货申请单”上要求到货日期开始计算直至甲方签收，若回单超出时效甲方有权按8.4向乙方进行索赔。</w:t>
      </w:r>
    </w:p>
    <w:p>
      <w:pPr>
        <w:spacing w:line="460" w:lineRule="exact"/>
        <w:jc w:val="center"/>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pStyle w:val="2"/>
      </w:pPr>
    </w:p>
    <w:p/>
    <w:p>
      <w:pPr>
        <w:pStyle w:val="2"/>
      </w:pPr>
    </w:p>
    <w:p>
      <w:pPr>
        <w:pStyle w:val="2"/>
        <w:rPr>
          <w:rFonts w:ascii="Calibri" w:hAnsi="Calibri" w:eastAsia="宋体"/>
          <w:b w:val="0"/>
          <w:bCs w:val="0"/>
          <w:kern w:val="2"/>
          <w:sz w:val="21"/>
          <w:szCs w:val="24"/>
        </w:rPr>
      </w:pPr>
    </w:p>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附件二：合作价格</w:t>
      </w:r>
    </w:p>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华南区域价格：</w:t>
      </w:r>
    </w:p>
    <w:tbl>
      <w:tblPr>
        <w:tblStyle w:val="38"/>
        <w:tblW w:w="7861" w:type="dxa"/>
        <w:tblInd w:w="0" w:type="dxa"/>
        <w:tblLayout w:type="autofit"/>
        <w:tblCellMar>
          <w:top w:w="0" w:type="dxa"/>
          <w:left w:w="108" w:type="dxa"/>
          <w:bottom w:w="0" w:type="dxa"/>
          <w:right w:w="108" w:type="dxa"/>
        </w:tblCellMar>
      </w:tblPr>
      <w:tblGrid>
        <w:gridCol w:w="1080"/>
        <w:gridCol w:w="1080"/>
        <w:gridCol w:w="1080"/>
        <w:gridCol w:w="1018"/>
        <w:gridCol w:w="1311"/>
        <w:gridCol w:w="1212"/>
        <w:gridCol w:w="1080"/>
      </w:tblGrid>
      <w:tr>
        <w:tblPrEx>
          <w:tblCellMar>
            <w:top w:w="0" w:type="dxa"/>
            <w:left w:w="108" w:type="dxa"/>
            <w:bottom w:w="0" w:type="dxa"/>
            <w:right w:w="108" w:type="dxa"/>
          </w:tblCellMar>
        </w:tblPrEx>
        <w:trPr>
          <w:trHeight w:val="300"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公里数</w:t>
            </w:r>
          </w:p>
        </w:tc>
        <w:tc>
          <w:tcPr>
            <w:tcW w:w="3541" w:type="dxa"/>
            <w:gridSpan w:val="3"/>
            <w:tcBorders>
              <w:top w:val="single" w:color="auto" w:sz="8" w:space="0"/>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仿宋" w:hAnsi="仿宋" w:eastAsia="仿宋" w:cs="Tahoma"/>
                <w:color w:val="000000"/>
              </w:rPr>
              <w:t>运费</w:t>
            </w:r>
          </w:p>
        </w:tc>
        <w:tc>
          <w:tcPr>
            <w:tcW w:w="1080" w:type="dxa"/>
            <w:tcBorders>
              <w:top w:val="single" w:color="auto" w:sz="8" w:space="0"/>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18"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311"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仿宋" w:hAnsi="仿宋" w:eastAsia="仿宋" w:cs="Tahoma"/>
                <w:color w:val="000000"/>
              </w:rPr>
              <w:t>5-15吨</w:t>
            </w:r>
          </w:p>
        </w:tc>
        <w:tc>
          <w:tcPr>
            <w:tcW w:w="1212"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广东省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深圳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珠海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汕头</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韶关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佛山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江门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湛江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茂名</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肇庆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惠州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梅州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汕尾</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河源</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阳江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清远</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东莞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中山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潮州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揭阳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云浮</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广西省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南宁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柳州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桂林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梧州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北海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防城港</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钦州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贵港</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玉林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百色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贺州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河池</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来宾</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崇左</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海南省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海口</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三亚</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三沙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儋州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bl>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华中区域价格</w:t>
      </w:r>
    </w:p>
    <w:tbl>
      <w:tblPr>
        <w:tblStyle w:val="38"/>
        <w:tblW w:w="7797" w:type="dxa"/>
        <w:tblInd w:w="-10" w:type="dxa"/>
        <w:tblLayout w:type="autofit"/>
        <w:tblCellMar>
          <w:top w:w="0" w:type="dxa"/>
          <w:left w:w="108" w:type="dxa"/>
          <w:bottom w:w="0" w:type="dxa"/>
          <w:right w:w="108" w:type="dxa"/>
        </w:tblCellMar>
      </w:tblPr>
      <w:tblGrid>
        <w:gridCol w:w="1081"/>
        <w:gridCol w:w="1081"/>
        <w:gridCol w:w="1080"/>
        <w:gridCol w:w="1011"/>
        <w:gridCol w:w="1276"/>
        <w:gridCol w:w="1275"/>
        <w:gridCol w:w="993"/>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3562"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1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河南省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郑州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开封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洛阳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平顶山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安阳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鹤壁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新乡</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焦作</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濮阳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许昌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漯河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三门峡</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南阳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商丘</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信阳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周口</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驻马店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湖北省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武汉</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十堰</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荆州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宜昌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襄阳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鄂州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荆门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孝感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黄冈</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咸宁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随州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恩施</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湖南省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长沙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株洲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湘潭</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衡阳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邵阳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岳阳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常德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张家界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益阳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郴州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永州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怀化</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娄底</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湘西</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1"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bl>
    <w:p>
      <w:pPr>
        <w:pStyle w:val="73"/>
        <w:ind w:firstLine="480"/>
        <w:rPr>
          <w:rFonts w:ascii="仿宋" w:hAnsi="仿宋" w:eastAsia="仿宋" w:cs="仿宋"/>
          <w:sz w:val="24"/>
          <w:szCs w:val="24"/>
        </w:rPr>
      </w:pPr>
    </w:p>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华北区域价格</w:t>
      </w:r>
    </w:p>
    <w:tbl>
      <w:tblPr>
        <w:tblStyle w:val="38"/>
        <w:tblW w:w="7797" w:type="dxa"/>
        <w:tblInd w:w="-10" w:type="dxa"/>
        <w:tblLayout w:type="autofit"/>
        <w:tblCellMar>
          <w:top w:w="0" w:type="dxa"/>
          <w:left w:w="108" w:type="dxa"/>
          <w:bottom w:w="0" w:type="dxa"/>
          <w:right w:w="108" w:type="dxa"/>
        </w:tblCellMar>
      </w:tblPr>
      <w:tblGrid>
        <w:gridCol w:w="1081"/>
        <w:gridCol w:w="1080"/>
        <w:gridCol w:w="1080"/>
        <w:gridCol w:w="1012"/>
        <w:gridCol w:w="1276"/>
        <w:gridCol w:w="1275"/>
        <w:gridCol w:w="993"/>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3563"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北京市</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市区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密云送货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延庆送货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昌平送货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河北省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石家庄</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唐山</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秦皇岛</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邯郸</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邢台</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保定</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张家口</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承德</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沧州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廊坊</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衡水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山西省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太原</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大同</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朔州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阳泉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长治</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忻州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吕梁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晋中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临汾</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晋城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内蒙古自治区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呼和浩特</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包头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乌海</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赤峰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通辽</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鄂尔多斯</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呼伦贝尔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巴彦淖尔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乌兰察布</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锡林郭勒盟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兴安盟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阿拉善盟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bl>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西北区域价格</w:t>
      </w:r>
    </w:p>
    <w:tbl>
      <w:tblPr>
        <w:tblStyle w:val="38"/>
        <w:tblW w:w="7797" w:type="dxa"/>
        <w:tblInd w:w="-10" w:type="dxa"/>
        <w:tblLayout w:type="autofit"/>
        <w:tblCellMar>
          <w:top w:w="0" w:type="dxa"/>
          <w:left w:w="108" w:type="dxa"/>
          <w:bottom w:w="0" w:type="dxa"/>
          <w:right w:w="108" w:type="dxa"/>
        </w:tblCellMar>
      </w:tblPr>
      <w:tblGrid>
        <w:gridCol w:w="1081"/>
        <w:gridCol w:w="1080"/>
        <w:gridCol w:w="1080"/>
        <w:gridCol w:w="1012"/>
        <w:gridCol w:w="1276"/>
        <w:gridCol w:w="1275"/>
        <w:gridCol w:w="993"/>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3563"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陕西省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西安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铜川</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宝鸡</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咸阳</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渭南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延安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汉中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榆林</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安康</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商洛</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宁夏回族自治区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银川</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石嘴</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吴中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固原</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中卫</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甘肃省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兰州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金昌</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白银</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天水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嘉峪关</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武威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张掖</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平凉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酒泉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庆阳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定西</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陇南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临夏</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青海省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西宁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果洛</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玉树</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海西</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新疆维吾尔族自治区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乌鲁木齐</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克拉玛依</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吐鲁番</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哈密</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和田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阿克苏</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喀什</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塔城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阿勒泰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克孜勒</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巴音郭楞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昌吉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博尔塔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拉蒙古</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伊犁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bl>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西南区域价格</w:t>
      </w:r>
    </w:p>
    <w:tbl>
      <w:tblPr>
        <w:tblStyle w:val="38"/>
        <w:tblW w:w="7797" w:type="dxa"/>
        <w:tblInd w:w="-10" w:type="dxa"/>
        <w:tblLayout w:type="autofit"/>
        <w:tblCellMar>
          <w:top w:w="0" w:type="dxa"/>
          <w:left w:w="108" w:type="dxa"/>
          <w:bottom w:w="0" w:type="dxa"/>
          <w:right w:w="108" w:type="dxa"/>
        </w:tblCellMar>
      </w:tblPr>
      <w:tblGrid>
        <w:gridCol w:w="1081"/>
        <w:gridCol w:w="1080"/>
        <w:gridCol w:w="1080"/>
        <w:gridCol w:w="1012"/>
        <w:gridCol w:w="1276"/>
        <w:gridCol w:w="1275"/>
        <w:gridCol w:w="993"/>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3563"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12"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27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27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重庆市</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市区</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周转</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偏远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四川省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成都</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自贡</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攀枝花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泸州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德阳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绵阳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广元</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遂宁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内江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乐山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南充</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眉山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宜宾</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广安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达州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雅安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巴中</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资阳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阿坝</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凉山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云南省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昆明</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曲靖</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玉溪</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保山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昭通</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丽江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普洱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临沧</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文山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红河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哈尼族</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西双版纳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楚雄</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大理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德宏</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怒江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迪庆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贵州省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贵阳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六盘水</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遵义</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安顺</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铜仁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毕节</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黔西南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黔东南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西藏自治区</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拉萨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那曲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昌都</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山南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日喀则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阿里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林芝</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12"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7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993"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bl>
    <w:p>
      <w:pPr>
        <w:widowControl/>
        <w:numPr>
          <w:ilvl w:val="0"/>
          <w:numId w:val="7"/>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华东区域价格</w:t>
      </w:r>
    </w:p>
    <w:tbl>
      <w:tblPr>
        <w:tblStyle w:val="38"/>
        <w:tblW w:w="7787" w:type="dxa"/>
        <w:tblInd w:w="0" w:type="dxa"/>
        <w:tblLayout w:type="autofit"/>
        <w:tblCellMar>
          <w:top w:w="0" w:type="dxa"/>
          <w:left w:w="108" w:type="dxa"/>
          <w:bottom w:w="0" w:type="dxa"/>
          <w:right w:w="108" w:type="dxa"/>
        </w:tblCellMar>
      </w:tblPr>
      <w:tblGrid>
        <w:gridCol w:w="1080"/>
        <w:gridCol w:w="1080"/>
        <w:gridCol w:w="1080"/>
        <w:gridCol w:w="1003"/>
        <w:gridCol w:w="1276"/>
        <w:gridCol w:w="1275"/>
        <w:gridCol w:w="993"/>
      </w:tblGrid>
      <w:tr>
        <w:tblPrEx>
          <w:tblCellMar>
            <w:top w:w="0" w:type="dxa"/>
            <w:left w:w="108" w:type="dxa"/>
            <w:bottom w:w="0" w:type="dxa"/>
            <w:right w:w="108" w:type="dxa"/>
          </w:tblCellMar>
        </w:tblPrEx>
        <w:trPr>
          <w:trHeight w:val="300"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省份</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xml:space="preserve">城市 </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公里数</w:t>
            </w:r>
          </w:p>
        </w:tc>
        <w:tc>
          <w:tcPr>
            <w:tcW w:w="3554" w:type="dxa"/>
            <w:gridSpan w:val="3"/>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运费</w:t>
            </w:r>
          </w:p>
        </w:tc>
        <w:tc>
          <w:tcPr>
            <w:tcW w:w="993" w:type="dxa"/>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装卸费</w:t>
            </w:r>
          </w:p>
        </w:tc>
      </w:tr>
      <w:tr>
        <w:tblPrEx>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03"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Microsoft YaHei UI" w:hAnsi="Microsoft YaHei UI" w:eastAsia="Microsoft YaHei UI" w:cs="Tahoma"/>
                <w:color w:val="000000"/>
                <w:kern w:val="0"/>
                <w:sz w:val="24"/>
              </w:rPr>
              <w:t>≤</w:t>
            </w:r>
            <w:r>
              <w:rPr>
                <w:rFonts w:hint="eastAsia" w:ascii="仿宋" w:hAnsi="仿宋" w:eastAsia="仿宋" w:cs="Tahoma"/>
                <w:color w:val="000000"/>
                <w:kern w:val="0"/>
                <w:sz w:val="24"/>
              </w:rPr>
              <w:t>5吨</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5-15吨</w:t>
            </w:r>
          </w:p>
        </w:tc>
        <w:tc>
          <w:tcPr>
            <w:tcW w:w="127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Microsoft YaHei UI" w:hAnsi="Microsoft YaHei UI" w:eastAsia="Microsoft YaHei UI" w:cs="Tahoma"/>
                <w:color w:val="000000"/>
                <w:kern w:val="0"/>
                <w:sz w:val="24"/>
              </w:rPr>
              <w:t>≥</w:t>
            </w:r>
            <w:r>
              <w:rPr>
                <w:rFonts w:hint="eastAsia" w:ascii="仿宋" w:hAnsi="仿宋" w:eastAsia="仿宋" w:cs="Tahoma"/>
                <w:color w:val="000000"/>
                <w:kern w:val="0"/>
                <w:sz w:val="24"/>
              </w:rPr>
              <w:t>15吨</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福建省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福州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厦门</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莆田</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三明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泉州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漳州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南平</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龙岩</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宁德</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山东省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济南</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青岛</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淄博</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枣庄</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东营</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烟台</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潍坊</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济宁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泰安</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威海</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日照</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莱芜</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临沂</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德州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聊城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滨州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菏泽</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浙江省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杭州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宁波</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温州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嘉兴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湖州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绍兴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金华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衢州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舟山</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台州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丽水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00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993"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江苏省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南京</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无锡</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徐州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常州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苏州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南通</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连云港</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淮安</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盐城</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扬州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镇江</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泰州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宿迁</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江西省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南昌</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景德镇</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萍乡</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九江</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新余</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鹰潭</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赣州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吉安</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宜春</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抚州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上饶</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00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5"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993"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bl>
    <w:p>
      <w:pPr>
        <w:spacing w:line="460" w:lineRule="exact"/>
        <w:rPr>
          <w:rFonts w:ascii="仿宋" w:hAnsi="仿宋" w:eastAsia="仿宋" w:cs="仿宋"/>
          <w:sz w:val="24"/>
        </w:rPr>
      </w:pPr>
      <w:r>
        <w:rPr>
          <w:rFonts w:hint="eastAsia" w:ascii="仿宋" w:hAnsi="仿宋" w:eastAsia="仿宋" w:cs="仿宋"/>
          <w:sz w:val="24"/>
        </w:rPr>
        <w:t>价格说明：</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以上均为吨公里报价。</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公里数以四川天成明超电缆有限公司为起点、所列地级市为实际运送地，百度地图显示距离，价格为地级市直达价格，实际运送地转县级市或乡村的，以实际起运地和实际到达地的百度地图或高德地图距离为准。</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以上价格以每个区域每天到货量进行结算，以上价格运费中不包含发货时的装车费用，装车由甲方承担，装车的防护用具木方、隔板等由甲方提供，运费和卸货费用均为固定价格，此价格在合同期内将不再变动。</w:t>
      </w:r>
    </w:p>
    <w:p>
      <w:pPr>
        <w:rPr>
          <w:rFonts w:hint="eastAsia"/>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六、退货费用</w:t>
      </w:r>
    </w:p>
    <w:p>
      <w:pPr>
        <w:spacing w:line="460" w:lineRule="exact"/>
        <w:rPr>
          <w:rFonts w:ascii="仿宋" w:hAnsi="仿宋" w:eastAsia="仿宋" w:cs="仿宋"/>
          <w:sz w:val="24"/>
        </w:rPr>
      </w:pPr>
      <w:r>
        <w:rPr>
          <w:rFonts w:hint="eastAsia" w:ascii="仿宋" w:hAnsi="仿宋" w:eastAsia="仿宋" w:cs="仿宋"/>
          <w:sz w:val="24"/>
        </w:rPr>
        <w:t>退货时如需物流装车产生的装车费增加</w:t>
      </w:r>
      <w:r>
        <w:rPr>
          <w:rFonts w:ascii="仿宋" w:hAnsi="仿宋" w:eastAsia="仿宋" w:cs="仿宋"/>
          <w:sz w:val="24"/>
        </w:rPr>
        <w:t xml:space="preserve">  40  </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吨，</w:t>
      </w:r>
    </w:p>
    <w:p>
      <w:pPr>
        <w:spacing w:line="460" w:lineRule="exact"/>
        <w:rPr>
          <w:rFonts w:ascii="仿宋" w:hAnsi="仿宋" w:eastAsia="仿宋" w:cs="仿宋"/>
          <w:sz w:val="24"/>
        </w:rPr>
      </w:pPr>
      <w:r>
        <w:rPr>
          <w:rFonts w:hint="eastAsia" w:ascii="仿宋" w:hAnsi="仿宋" w:eastAsia="仿宋" w:cs="仿宋"/>
          <w:sz w:val="24"/>
        </w:rPr>
        <w:t>省内：</w:t>
      </w:r>
    </w:p>
    <w:p>
      <w:pPr>
        <w:spacing w:line="460" w:lineRule="exact"/>
        <w:rPr>
          <w:rFonts w:ascii="仿宋" w:hAnsi="仿宋" w:eastAsia="仿宋" w:cs="仿宋"/>
          <w:sz w:val="24"/>
        </w:rPr>
      </w:pPr>
      <w:r>
        <w:rPr>
          <w:rFonts w:hint="eastAsia" w:ascii="仿宋" w:hAnsi="仿宋" w:eastAsia="仿宋" w:cs="仿宋"/>
          <w:sz w:val="24"/>
        </w:rPr>
        <w:t>货物顺路退回的按去程运输费</w:t>
      </w:r>
      <w:r>
        <w:rPr>
          <w:rFonts w:ascii="仿宋" w:hAnsi="仿宋" w:eastAsia="仿宋" w:cs="仿宋"/>
          <w:sz w:val="24"/>
        </w:rPr>
        <w:t xml:space="preserve">    60  %</w:t>
      </w:r>
      <w:r>
        <w:rPr>
          <w:rFonts w:hint="eastAsia" w:ascii="仿宋" w:hAnsi="仿宋" w:eastAsia="仿宋" w:cs="仿宋"/>
          <w:sz w:val="24"/>
        </w:rPr>
        <w:t>计算。</w:t>
      </w:r>
    </w:p>
    <w:p>
      <w:pPr>
        <w:spacing w:line="460" w:lineRule="exact"/>
        <w:rPr>
          <w:rFonts w:ascii="仿宋" w:hAnsi="仿宋" w:eastAsia="仿宋" w:cs="仿宋"/>
          <w:sz w:val="24"/>
        </w:rPr>
      </w:pPr>
      <w:r>
        <w:rPr>
          <w:rFonts w:hint="eastAsia" w:ascii="仿宋" w:hAnsi="仿宋" w:eastAsia="仿宋" w:cs="仿宋"/>
          <w:sz w:val="24"/>
        </w:rPr>
        <w:t>货物为派车专门退回按当次去程运输费</w:t>
      </w:r>
      <w:r>
        <w:rPr>
          <w:rFonts w:ascii="仿宋" w:hAnsi="仿宋" w:eastAsia="仿宋" w:cs="仿宋"/>
          <w:sz w:val="24"/>
        </w:rPr>
        <w:t xml:space="preserve">   100   %</w:t>
      </w:r>
      <w:r>
        <w:rPr>
          <w:rFonts w:hint="eastAsia" w:ascii="仿宋" w:hAnsi="仿宋" w:eastAsia="仿宋" w:cs="仿宋"/>
          <w:sz w:val="24"/>
        </w:rPr>
        <w:t>计算。</w:t>
      </w:r>
    </w:p>
    <w:p>
      <w:pPr>
        <w:spacing w:line="460" w:lineRule="exact"/>
        <w:rPr>
          <w:rFonts w:ascii="仿宋" w:hAnsi="仿宋" w:eastAsia="仿宋" w:cs="仿宋"/>
          <w:sz w:val="24"/>
        </w:rPr>
      </w:pPr>
      <w:r>
        <w:rPr>
          <w:rFonts w:hint="eastAsia" w:ascii="仿宋" w:hAnsi="仿宋" w:eastAsia="仿宋" w:cs="仿宋"/>
          <w:sz w:val="24"/>
        </w:rPr>
        <w:t>省外：</w:t>
      </w:r>
    </w:p>
    <w:p>
      <w:pPr>
        <w:spacing w:line="460" w:lineRule="exact"/>
        <w:rPr>
          <w:rFonts w:ascii="仿宋" w:hAnsi="仿宋" w:eastAsia="仿宋" w:cs="仿宋"/>
          <w:sz w:val="24"/>
        </w:rPr>
      </w:pPr>
      <w:r>
        <w:rPr>
          <w:rFonts w:hint="eastAsia" w:ascii="仿宋" w:hAnsi="仿宋" w:eastAsia="仿宋" w:cs="仿宋"/>
          <w:sz w:val="24"/>
        </w:rPr>
        <w:t>退货费用按去程运费</w:t>
      </w:r>
      <w:r>
        <w:rPr>
          <w:rFonts w:ascii="仿宋" w:hAnsi="仿宋" w:eastAsia="仿宋" w:cs="仿宋"/>
          <w:sz w:val="24"/>
        </w:rPr>
        <w:t>100%</w:t>
      </w:r>
      <w:r>
        <w:rPr>
          <w:rFonts w:hint="eastAsia" w:ascii="仿宋" w:hAnsi="仿宋" w:eastAsia="仿宋" w:cs="仿宋"/>
          <w:sz w:val="24"/>
        </w:rPr>
        <w:t>计算。</w:t>
      </w:r>
    </w:p>
    <w:p>
      <w:pPr>
        <w:spacing w:line="460" w:lineRule="exact"/>
        <w:rPr>
          <w:rFonts w:ascii="仿宋" w:hAnsi="仿宋" w:eastAsia="仿宋" w:cs="仿宋"/>
          <w:sz w:val="24"/>
        </w:rPr>
      </w:pPr>
      <w:r>
        <w:rPr>
          <w:rFonts w:hint="eastAsia" w:ascii="仿宋" w:hAnsi="仿宋" w:eastAsia="仿宋" w:cs="仿宋"/>
          <w:sz w:val="24"/>
        </w:rPr>
        <w:t>退货时效：省内</w:t>
      </w:r>
      <w:r>
        <w:rPr>
          <w:rFonts w:ascii="仿宋" w:hAnsi="仿宋" w:eastAsia="仿宋" w:cs="仿宋"/>
          <w:sz w:val="24"/>
        </w:rPr>
        <w:t>4</w:t>
      </w:r>
      <w:r>
        <w:rPr>
          <w:rFonts w:hint="eastAsia" w:ascii="仿宋" w:hAnsi="仿宋" w:eastAsia="仿宋" w:cs="仿宋"/>
          <w:sz w:val="24"/>
        </w:rPr>
        <w:t>天内，省外</w:t>
      </w:r>
      <w:r>
        <w:rPr>
          <w:rFonts w:ascii="仿宋" w:hAnsi="仿宋" w:eastAsia="仿宋" w:cs="仿宋"/>
          <w:sz w:val="24"/>
        </w:rPr>
        <w:t>10</w:t>
      </w:r>
      <w:r>
        <w:rPr>
          <w:rFonts w:hint="eastAsia" w:ascii="仿宋" w:hAnsi="仿宋" w:eastAsia="仿宋" w:cs="仿宋"/>
          <w:sz w:val="24"/>
        </w:rPr>
        <w:t>天内。超出甲方有权按</w:t>
      </w:r>
      <w:r>
        <w:rPr>
          <w:rFonts w:ascii="仿宋" w:hAnsi="仿宋" w:eastAsia="仿宋" w:cs="仿宋"/>
          <w:sz w:val="24"/>
        </w:rPr>
        <w:t>8.4</w:t>
      </w:r>
      <w:r>
        <w:rPr>
          <w:rFonts w:hint="eastAsia" w:ascii="仿宋" w:hAnsi="仿宋" w:eastAsia="仿宋" w:cs="仿宋"/>
          <w:sz w:val="24"/>
        </w:rPr>
        <w:t>向乙方进行索赔。</w:t>
      </w:r>
    </w:p>
    <w:p>
      <w:pPr>
        <w:widowControl/>
        <w:numPr>
          <w:ilvl w:val="0"/>
          <w:numId w:val="8"/>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车辆放空费</w:t>
      </w:r>
    </w:p>
    <w:p>
      <w:pPr>
        <w:spacing w:line="460" w:lineRule="exact"/>
        <w:ind w:firstLine="480" w:firstLineChars="200"/>
        <w:rPr>
          <w:rFonts w:ascii="仿宋" w:hAnsi="仿宋" w:eastAsia="仿宋" w:cs="仿宋"/>
          <w:sz w:val="24"/>
        </w:rPr>
      </w:pPr>
      <w:r>
        <w:rPr>
          <w:rFonts w:hint="eastAsia" w:ascii="仿宋" w:hAnsi="仿宋" w:eastAsia="仿宋" w:cs="仿宋"/>
          <w:sz w:val="24"/>
        </w:rPr>
        <w:t>由于甲方原因下单后又取消，导致乙方约车后产生车辆放空费用，甲方按如下金额赔付给乙方。</w:t>
      </w:r>
    </w:p>
    <w:tbl>
      <w:tblPr>
        <w:tblStyle w:val="38"/>
        <w:tblW w:w="0" w:type="auto"/>
        <w:tblInd w:w="-30" w:type="dxa"/>
        <w:tblLayout w:type="fixed"/>
        <w:tblCellMar>
          <w:top w:w="0" w:type="dxa"/>
          <w:left w:w="108" w:type="dxa"/>
          <w:bottom w:w="0" w:type="dxa"/>
          <w:right w:w="108" w:type="dxa"/>
        </w:tblCellMar>
      </w:tblPr>
      <w:tblGrid>
        <w:gridCol w:w="1924"/>
        <w:gridCol w:w="1493"/>
        <w:gridCol w:w="1418"/>
        <w:gridCol w:w="1559"/>
        <w:gridCol w:w="1942"/>
      </w:tblGrid>
      <w:tr>
        <w:tblPrEx>
          <w:tblCellMar>
            <w:top w:w="0" w:type="dxa"/>
            <w:left w:w="108" w:type="dxa"/>
            <w:bottom w:w="0" w:type="dxa"/>
            <w:right w:w="108" w:type="dxa"/>
          </w:tblCellMar>
        </w:tblPrEx>
        <w:trPr>
          <w:trHeight w:val="286" w:hRule="atLeast"/>
        </w:trPr>
        <w:tc>
          <w:tcPr>
            <w:tcW w:w="1924"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spacing w:after="120" w:line="460" w:lineRule="exact"/>
              <w:rPr>
                <w:rFonts w:ascii="仿宋" w:hAnsi="仿宋" w:eastAsia="仿宋" w:cs="仿宋"/>
                <w:sz w:val="24"/>
              </w:rPr>
            </w:pPr>
          </w:p>
        </w:tc>
        <w:tc>
          <w:tcPr>
            <w:tcW w:w="6412" w:type="dxa"/>
            <w:gridSpan w:val="4"/>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T表示每车次货物运输重量</w:t>
            </w:r>
          </w:p>
        </w:tc>
      </w:tr>
      <w:tr>
        <w:tblPrEx>
          <w:tblCellMar>
            <w:top w:w="0" w:type="dxa"/>
            <w:left w:w="108" w:type="dxa"/>
            <w:bottom w:w="0" w:type="dxa"/>
            <w:right w:w="108" w:type="dxa"/>
          </w:tblCellMar>
        </w:tblPrEx>
        <w:trPr>
          <w:trHeight w:val="286" w:hRule="atLeast"/>
        </w:trPr>
        <w:tc>
          <w:tcPr>
            <w:tcW w:w="1924" w:type="dxa"/>
            <w:tcBorders>
              <w:top w:val="nil"/>
              <w:left w:val="single" w:color="000000" w:sz="12" w:space="0"/>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重量</w:t>
            </w:r>
          </w:p>
        </w:tc>
        <w:tc>
          <w:tcPr>
            <w:tcW w:w="1493"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ascii="仿宋" w:hAnsi="仿宋" w:eastAsia="仿宋" w:cs="仿宋"/>
                <w:sz w:val="24"/>
              </w:rPr>
              <w:t>T&lt;1t</w:t>
            </w:r>
          </w:p>
        </w:tc>
        <w:tc>
          <w:tcPr>
            <w:tcW w:w="1418"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ascii="仿宋" w:hAnsi="仿宋" w:eastAsia="仿宋" w:cs="仿宋"/>
                <w:sz w:val="24"/>
              </w:rPr>
              <w:t>1≤T&lt;5t</w:t>
            </w:r>
          </w:p>
        </w:tc>
        <w:tc>
          <w:tcPr>
            <w:tcW w:w="1559"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ascii="仿宋" w:hAnsi="仿宋" w:eastAsia="仿宋" w:cs="仿宋"/>
                <w:sz w:val="24"/>
              </w:rPr>
              <w:t>5≤T&lt;10t</w:t>
            </w:r>
          </w:p>
        </w:tc>
        <w:tc>
          <w:tcPr>
            <w:tcW w:w="1942"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ascii="仿宋" w:hAnsi="仿宋" w:eastAsia="仿宋" w:cs="仿宋"/>
                <w:sz w:val="24"/>
              </w:rPr>
              <w:t>T</w:t>
            </w:r>
            <w:r>
              <w:rPr>
                <w:rFonts w:hint="eastAsia" w:ascii="仿宋" w:hAnsi="仿宋" w:eastAsia="仿宋" w:cs="仿宋"/>
                <w:sz w:val="24"/>
              </w:rPr>
              <w:t>≧</w:t>
            </w:r>
            <w:r>
              <w:rPr>
                <w:rFonts w:ascii="仿宋" w:hAnsi="仿宋" w:eastAsia="仿宋" w:cs="仿宋"/>
                <w:sz w:val="24"/>
              </w:rPr>
              <w:t xml:space="preserve"> 10</w:t>
            </w:r>
          </w:p>
        </w:tc>
      </w:tr>
      <w:tr>
        <w:tblPrEx>
          <w:tblCellMar>
            <w:top w:w="0" w:type="dxa"/>
            <w:left w:w="108" w:type="dxa"/>
            <w:bottom w:w="0" w:type="dxa"/>
            <w:right w:w="108" w:type="dxa"/>
          </w:tblCellMar>
        </w:tblPrEx>
        <w:trPr>
          <w:trHeight w:val="286" w:hRule="atLeast"/>
        </w:trPr>
        <w:tc>
          <w:tcPr>
            <w:tcW w:w="1924"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放空费</w:t>
            </w:r>
          </w:p>
        </w:tc>
        <w:tc>
          <w:tcPr>
            <w:tcW w:w="1493"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100</w:t>
            </w:r>
          </w:p>
        </w:tc>
        <w:tc>
          <w:tcPr>
            <w:tcW w:w="1418"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150</w:t>
            </w:r>
          </w:p>
        </w:tc>
        <w:tc>
          <w:tcPr>
            <w:tcW w:w="1559"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260</w:t>
            </w:r>
          </w:p>
        </w:tc>
        <w:tc>
          <w:tcPr>
            <w:tcW w:w="1942"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spacing w:after="120" w:line="460" w:lineRule="exact"/>
              <w:jc w:val="center"/>
              <w:textAlignment w:val="center"/>
              <w:rPr>
                <w:rFonts w:ascii="仿宋" w:hAnsi="仿宋" w:eastAsia="仿宋" w:cs="仿宋"/>
                <w:sz w:val="24"/>
              </w:rPr>
            </w:pPr>
            <w:r>
              <w:rPr>
                <w:rFonts w:hint="eastAsia" w:ascii="仿宋" w:hAnsi="仿宋" w:eastAsia="仿宋" w:cs="仿宋"/>
                <w:sz w:val="24"/>
              </w:rPr>
              <w:t>300</w:t>
            </w:r>
          </w:p>
        </w:tc>
      </w:tr>
    </w:tbl>
    <w:p>
      <w:pPr>
        <w:spacing w:line="460" w:lineRule="exact"/>
        <w:rPr>
          <w:rFonts w:ascii="仿宋" w:hAnsi="仿宋" w:eastAsia="仿宋" w:cs="仿宋"/>
          <w:sz w:val="24"/>
        </w:rPr>
      </w:pPr>
    </w:p>
    <w:p>
      <w:pPr>
        <w:widowControl/>
        <w:numPr>
          <w:ilvl w:val="0"/>
          <w:numId w:val="8"/>
        </w:numPr>
        <w:adjustRightInd w:val="0"/>
        <w:snapToGrid w:val="0"/>
        <w:spacing w:after="200" w:line="460" w:lineRule="exact"/>
        <w:jc w:val="left"/>
        <w:rPr>
          <w:rFonts w:ascii="仿宋" w:hAnsi="仿宋" w:eastAsia="仿宋" w:cs="仿宋"/>
          <w:sz w:val="24"/>
        </w:rPr>
      </w:pPr>
      <w:r>
        <w:rPr>
          <w:rFonts w:hint="eastAsia" w:ascii="仿宋" w:hAnsi="仿宋" w:eastAsia="仿宋" w:cs="仿宋"/>
          <w:sz w:val="24"/>
        </w:rPr>
        <w:t>等待费</w:t>
      </w:r>
    </w:p>
    <w:p>
      <w:pPr>
        <w:spacing w:line="460" w:lineRule="exact"/>
        <w:ind w:left="510"/>
        <w:rPr>
          <w:rFonts w:ascii="仿宋" w:hAnsi="仿宋" w:eastAsia="仿宋" w:cs="仿宋"/>
          <w:sz w:val="24"/>
        </w:rPr>
      </w:pPr>
      <w:r>
        <w:rPr>
          <w:rFonts w:hint="eastAsia" w:ascii="仿宋" w:hAnsi="仿宋" w:eastAsia="仿宋" w:cs="仿宋"/>
          <w:sz w:val="24"/>
        </w:rPr>
        <w:t>由于甲方或收货单位原因造成延迟卸货，甲方按</w:t>
      </w:r>
      <w:r>
        <w:rPr>
          <w:rFonts w:ascii="仿宋" w:hAnsi="仿宋" w:eastAsia="仿宋" w:cs="仿宋"/>
          <w:sz w:val="24"/>
        </w:rPr>
        <w:t>500</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天给予补贴。</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pStyle w:val="2"/>
      </w:pPr>
    </w:p>
    <w:p/>
    <w:p>
      <w:pPr>
        <w:pStyle w:val="2"/>
      </w:pPr>
    </w:p>
    <w:p>
      <w:pPr>
        <w:pStyle w:val="2"/>
        <w:rPr>
          <w:rFonts w:ascii="Calibri" w:hAnsi="Calibri" w:eastAsia="宋体"/>
          <w:b w:val="0"/>
          <w:bCs w:val="0"/>
          <w:kern w:val="2"/>
          <w:sz w:val="21"/>
          <w:szCs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附件三：安全环保协议</w:t>
      </w:r>
    </w:p>
    <w:p>
      <w:pPr>
        <w:spacing w:line="460" w:lineRule="exact"/>
        <w:jc w:val="center"/>
        <w:rPr>
          <w:rFonts w:ascii="仿宋" w:hAnsi="仿宋" w:eastAsia="仿宋" w:cs="仿宋"/>
          <w:sz w:val="24"/>
        </w:rPr>
      </w:pPr>
      <w:r>
        <w:rPr>
          <w:rFonts w:hint="eastAsia" w:ascii="仿宋" w:hAnsi="仿宋" w:eastAsia="仿宋" w:cs="仿宋"/>
          <w:sz w:val="24"/>
        </w:rPr>
        <w:t>安全环保协议</w:t>
      </w:r>
    </w:p>
    <w:p>
      <w:pPr>
        <w:spacing w:line="460" w:lineRule="exact"/>
        <w:rPr>
          <w:rFonts w:ascii="仿宋" w:hAnsi="仿宋" w:eastAsia="仿宋" w:cs="仿宋"/>
          <w:sz w:val="24"/>
        </w:rPr>
      </w:pPr>
      <w:r>
        <w:rPr>
          <w:rFonts w:hint="eastAsia" w:ascii="仿宋" w:hAnsi="仿宋" w:eastAsia="仿宋" w:cs="仿宋"/>
          <w:sz w:val="24"/>
        </w:rPr>
        <w:t>甲方：四川天成明超电缆有限公司</w:t>
      </w:r>
    </w:p>
    <w:p>
      <w:pPr>
        <w:spacing w:line="460" w:lineRule="exact"/>
        <w:rPr>
          <w:rFonts w:ascii="仿宋" w:hAnsi="仿宋" w:eastAsia="仿宋" w:cs="仿宋"/>
          <w:sz w:val="24"/>
        </w:rPr>
      </w:pPr>
      <w:r>
        <w:rPr>
          <w:rFonts w:hint="eastAsia" w:ascii="仿宋" w:hAnsi="仿宋" w:eastAsia="仿宋" w:cs="仿宋"/>
          <w:sz w:val="24"/>
        </w:rPr>
        <w:t>乙方：</w:t>
      </w:r>
    </w:p>
    <w:p>
      <w:pPr>
        <w:spacing w:line="460" w:lineRule="exact"/>
        <w:ind w:firstLine="480" w:firstLineChars="200"/>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为进一步加强和规范运输安全管理和环境管理，落实安全主体责任，预防发生安全事故，在生产经营活动中树立安全发展理念，根据国家有关安全生产和环境保护的法律、法规，经甲乙双方平等协商签订本协议，本协议作为运输合同附属协议。</w:t>
      </w:r>
    </w:p>
    <w:p>
      <w:pPr>
        <w:spacing w:line="460" w:lineRule="exact"/>
        <w:rPr>
          <w:rFonts w:ascii="仿宋" w:hAnsi="仿宋" w:eastAsia="仿宋" w:cs="仿宋"/>
          <w:sz w:val="24"/>
        </w:rPr>
      </w:pPr>
      <w:r>
        <w:rPr>
          <w:rFonts w:ascii="仿宋" w:hAnsi="仿宋" w:eastAsia="仿宋" w:cs="仿宋"/>
          <w:sz w:val="24"/>
        </w:rPr>
        <w:t xml:space="preserve">      1</w:t>
      </w:r>
      <w:r>
        <w:rPr>
          <w:rFonts w:hint="eastAsia" w:ascii="仿宋" w:hAnsi="仿宋" w:eastAsia="仿宋" w:cs="仿宋"/>
          <w:sz w:val="24"/>
        </w:rPr>
        <w:t>、乙方所有进入甲方厂区的机动车辆均应遵守相关的环境、职业健康安全方面的法律法规及本公司的相关规定，进出大门应主动接受门卫查验。</w:t>
      </w:r>
    </w:p>
    <w:p>
      <w:pPr>
        <w:spacing w:line="460" w:lineRule="exact"/>
        <w:rPr>
          <w:rFonts w:ascii="仿宋" w:hAnsi="仿宋" w:eastAsia="仿宋" w:cs="仿宋"/>
          <w:sz w:val="24"/>
        </w:rPr>
      </w:pPr>
      <w:r>
        <w:rPr>
          <w:rFonts w:ascii="仿宋" w:hAnsi="仿宋" w:eastAsia="仿宋" w:cs="仿宋"/>
          <w:sz w:val="24"/>
        </w:rPr>
        <w:t xml:space="preserve">      2</w:t>
      </w:r>
      <w:r>
        <w:rPr>
          <w:rFonts w:hint="eastAsia" w:ascii="仿宋" w:hAnsi="仿宋" w:eastAsia="仿宋" w:cs="仿宋"/>
          <w:sz w:val="24"/>
        </w:rPr>
        <w:t>、乙方派往甲方车辆必须通过年检，所有车辆定期维修保养，确保车况良好、车容整洁，车辆尾气、噪声必须符合国家、地方的机动车辆排放标准。</w:t>
      </w:r>
    </w:p>
    <w:p>
      <w:pPr>
        <w:spacing w:line="460" w:lineRule="exact"/>
        <w:ind w:firstLine="720" w:firstLineChars="3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、司机必须具有相关合法证件，货车载量与甲方货物匹配，无牌无证车辆甲方不许进入厂区。</w:t>
      </w:r>
    </w:p>
    <w:p>
      <w:pPr>
        <w:spacing w:line="460" w:lineRule="exact"/>
        <w:rPr>
          <w:rFonts w:ascii="仿宋" w:hAnsi="仿宋" w:eastAsia="仿宋" w:cs="仿宋"/>
          <w:sz w:val="24"/>
        </w:rPr>
      </w:pPr>
      <w:r>
        <w:rPr>
          <w:rFonts w:ascii="仿宋" w:hAnsi="仿宋" w:eastAsia="仿宋" w:cs="仿宋"/>
          <w:sz w:val="24"/>
        </w:rPr>
        <w:t xml:space="preserve">      4</w:t>
      </w:r>
      <w:r>
        <w:rPr>
          <w:rFonts w:hint="eastAsia" w:ascii="仿宋" w:hAnsi="仿宋" w:eastAsia="仿宋" w:cs="仿宋"/>
          <w:sz w:val="24"/>
        </w:rPr>
        <w:t>、车辆进入厂区后，行驶时速不得超过</w:t>
      </w:r>
      <w:r>
        <w:rPr>
          <w:rFonts w:ascii="仿宋" w:hAnsi="仿宋" w:eastAsia="仿宋" w:cs="仿宋"/>
          <w:sz w:val="24"/>
        </w:rPr>
        <w:t>15</w:t>
      </w:r>
      <w:r>
        <w:rPr>
          <w:rFonts w:hint="eastAsia" w:ascii="仿宋" w:hAnsi="仿宋" w:eastAsia="仿宋" w:cs="仿宋"/>
          <w:sz w:val="24"/>
        </w:rPr>
        <w:t>公里</w:t>
      </w:r>
      <w:r>
        <w:rPr>
          <w:rFonts w:ascii="仿宋" w:hAnsi="仿宋" w:eastAsia="仿宋" w:cs="仿宋"/>
          <w:sz w:val="24"/>
        </w:rPr>
        <w:t>/</w:t>
      </w:r>
      <w:r>
        <w:rPr>
          <w:rFonts w:hint="eastAsia" w:ascii="仿宋" w:hAnsi="仿宋" w:eastAsia="仿宋" w:cs="仿宋"/>
          <w:sz w:val="24"/>
        </w:rPr>
        <w:t>小时，且必须在甲方指定区域内活动。</w:t>
      </w:r>
    </w:p>
    <w:p>
      <w:pPr>
        <w:spacing w:line="460" w:lineRule="exact"/>
        <w:rPr>
          <w:rFonts w:ascii="仿宋" w:hAnsi="仿宋" w:eastAsia="仿宋" w:cs="仿宋"/>
          <w:sz w:val="24"/>
        </w:rPr>
      </w:pPr>
      <w:r>
        <w:rPr>
          <w:rFonts w:ascii="仿宋" w:hAnsi="仿宋" w:eastAsia="仿宋" w:cs="仿宋"/>
          <w:sz w:val="24"/>
        </w:rPr>
        <w:t xml:space="preserve">      5</w:t>
      </w:r>
      <w:r>
        <w:rPr>
          <w:rFonts w:hint="eastAsia" w:ascii="仿宋" w:hAnsi="仿宋" w:eastAsia="仿宋" w:cs="仿宋"/>
          <w:sz w:val="24"/>
        </w:rPr>
        <w:t>、车辆装卸时，相关人员应听从作业区指定人员的指导，待装、待卸车辆与装卸货物的车辆应保持足够的安全距离并不准堵塞安全通道。</w:t>
      </w:r>
    </w:p>
    <w:p>
      <w:pPr>
        <w:spacing w:line="460" w:lineRule="exact"/>
        <w:rPr>
          <w:rFonts w:ascii="仿宋" w:hAnsi="仿宋" w:eastAsia="仿宋" w:cs="仿宋"/>
          <w:sz w:val="24"/>
        </w:rPr>
      </w:pPr>
      <w:r>
        <w:rPr>
          <w:rFonts w:ascii="仿宋" w:hAnsi="仿宋" w:eastAsia="仿宋" w:cs="仿宋"/>
          <w:sz w:val="24"/>
        </w:rPr>
        <w:t xml:space="preserve">      6</w:t>
      </w:r>
      <w:r>
        <w:rPr>
          <w:rFonts w:hint="eastAsia" w:ascii="仿宋" w:hAnsi="仿宋" w:eastAsia="仿宋" w:cs="仿宋"/>
          <w:sz w:val="24"/>
        </w:rPr>
        <w:t>、装卸过程中，司机不得离开车辆，若需要移动车辆，应先关上车厢门或栏板。若原地关不上时，必须有人监护，在保证安全情况下才能移动车辆，起步要慢，停车要稳。</w:t>
      </w:r>
    </w:p>
    <w:p>
      <w:pPr>
        <w:spacing w:line="460" w:lineRule="exact"/>
        <w:rPr>
          <w:rFonts w:ascii="仿宋" w:hAnsi="仿宋" w:eastAsia="仿宋" w:cs="仿宋"/>
          <w:sz w:val="24"/>
        </w:rPr>
      </w:pPr>
      <w:r>
        <w:rPr>
          <w:rFonts w:ascii="仿宋" w:hAnsi="仿宋" w:eastAsia="仿宋" w:cs="仿宋"/>
          <w:sz w:val="24"/>
        </w:rPr>
        <w:t xml:space="preserve">      7</w:t>
      </w:r>
      <w:r>
        <w:rPr>
          <w:rFonts w:hint="eastAsia" w:ascii="仿宋" w:hAnsi="仿宋" w:eastAsia="仿宋" w:cs="仿宋"/>
          <w:sz w:val="24"/>
        </w:rPr>
        <w:t>、禁止在装卸作业区内维修车辆。</w:t>
      </w:r>
    </w:p>
    <w:p>
      <w:pPr>
        <w:spacing w:line="460" w:lineRule="exact"/>
        <w:rPr>
          <w:rFonts w:ascii="仿宋" w:hAnsi="仿宋" w:eastAsia="仿宋" w:cs="仿宋"/>
          <w:sz w:val="24"/>
        </w:rPr>
      </w:pPr>
      <w:r>
        <w:rPr>
          <w:rFonts w:ascii="仿宋" w:hAnsi="仿宋" w:eastAsia="仿宋" w:cs="仿宋"/>
          <w:sz w:val="24"/>
        </w:rPr>
        <w:t xml:space="preserve">      8</w:t>
      </w:r>
      <w:r>
        <w:rPr>
          <w:rFonts w:hint="eastAsia" w:ascii="仿宋" w:hAnsi="仿宋" w:eastAsia="仿宋" w:cs="仿宋"/>
          <w:sz w:val="24"/>
        </w:rPr>
        <w:t>、装车完毕，乙方必须对货物的堆码、遮盖、固定等安全措施及影响车辆启动的不安全因素进行检查。</w:t>
      </w:r>
    </w:p>
    <w:p>
      <w:pPr>
        <w:spacing w:line="460" w:lineRule="exact"/>
        <w:rPr>
          <w:rFonts w:ascii="仿宋" w:hAnsi="仿宋" w:eastAsia="仿宋" w:cs="仿宋"/>
          <w:sz w:val="24"/>
        </w:rPr>
      </w:pPr>
      <w:r>
        <w:rPr>
          <w:rFonts w:ascii="仿宋" w:hAnsi="仿宋" w:eastAsia="仿宋" w:cs="仿宋"/>
          <w:sz w:val="24"/>
        </w:rPr>
        <w:t xml:space="preserve">      9</w:t>
      </w:r>
      <w:r>
        <w:rPr>
          <w:rFonts w:hint="eastAsia" w:ascii="仿宋" w:hAnsi="仿宋" w:eastAsia="仿宋" w:cs="仿宋"/>
          <w:sz w:val="24"/>
        </w:rPr>
        <w:t>、运输过程中，司机必须遵守道路交通安全法规，安全驾驶，连续行驶</w:t>
      </w:r>
      <w:r>
        <w:rPr>
          <w:rFonts w:ascii="仿宋" w:hAnsi="仿宋" w:eastAsia="仿宋" w:cs="仿宋"/>
          <w:sz w:val="24"/>
        </w:rPr>
        <w:t>4</w:t>
      </w:r>
      <w:r>
        <w:rPr>
          <w:rFonts w:hint="eastAsia" w:ascii="仿宋" w:hAnsi="仿宋" w:eastAsia="仿宋" w:cs="仿宋"/>
          <w:sz w:val="24"/>
        </w:rPr>
        <w:t>小时以上必须休息不少于</w:t>
      </w:r>
      <w:r>
        <w:rPr>
          <w:rFonts w:ascii="仿宋" w:hAnsi="仿宋" w:eastAsia="仿宋" w:cs="仿宋"/>
          <w:sz w:val="24"/>
        </w:rPr>
        <w:t>20</w:t>
      </w:r>
      <w:r>
        <w:rPr>
          <w:rFonts w:hint="eastAsia" w:ascii="仿宋" w:hAnsi="仿宋" w:eastAsia="仿宋" w:cs="仿宋"/>
          <w:sz w:val="24"/>
        </w:rPr>
        <w:t>分钟，禁止疲劳驾驶。</w:t>
      </w:r>
    </w:p>
    <w:p>
      <w:pPr>
        <w:spacing w:line="460" w:lineRule="exact"/>
        <w:rPr>
          <w:rFonts w:ascii="仿宋" w:hAnsi="仿宋" w:eastAsia="仿宋" w:cs="仿宋"/>
          <w:sz w:val="24"/>
        </w:rPr>
      </w:pPr>
      <w:r>
        <w:rPr>
          <w:rFonts w:ascii="仿宋" w:hAnsi="仿宋" w:eastAsia="仿宋" w:cs="仿宋"/>
          <w:sz w:val="24"/>
        </w:rPr>
        <w:t xml:space="preserve">      10</w:t>
      </w:r>
      <w:r>
        <w:rPr>
          <w:rFonts w:hint="eastAsia" w:ascii="仿宋" w:hAnsi="仿宋" w:eastAsia="仿宋" w:cs="仿宋"/>
          <w:sz w:val="24"/>
        </w:rPr>
        <w:t>、货物运达卸货地点后，因故不能及时卸货，在待卸期间，行车人员应会同押运人员负责看管货物。</w:t>
      </w:r>
    </w:p>
    <w:p>
      <w:pPr>
        <w:spacing w:line="460" w:lineRule="exact"/>
        <w:ind w:firstLine="720" w:firstLineChars="3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、严禁乙方所有工作人员在我司非吸烟区域吸烟，随地乱扔垃圾。乙方在作业过程中需保持现场整洁，班后要把相关作业区域清理干净，不能出现装卸工具，地台板乱摆放现象。</w:t>
      </w:r>
    </w:p>
    <w:p>
      <w:pPr>
        <w:spacing w:line="460" w:lineRule="exact"/>
        <w:ind w:firstLine="720" w:firstLineChars="30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、进入龙门吊作业区域以及其它我司要求佩戴安全帽的区域需要按我司要求佩戴安全帽。</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本页为签字页，以下无正文。</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甲</w:t>
      </w:r>
      <w:r>
        <w:rPr>
          <w:rFonts w:ascii="仿宋" w:hAnsi="仿宋" w:eastAsia="仿宋" w:cs="仿宋"/>
          <w:sz w:val="24"/>
        </w:rPr>
        <w:t xml:space="preserve">    </w:t>
      </w:r>
      <w:r>
        <w:rPr>
          <w:rFonts w:hint="eastAsia" w:ascii="仿宋" w:hAnsi="仿宋" w:eastAsia="仿宋" w:cs="仿宋"/>
          <w:sz w:val="24"/>
        </w:rPr>
        <w:t>方：</w:t>
      </w:r>
      <w:r>
        <w:rPr>
          <w:rFonts w:ascii="仿宋" w:hAnsi="仿宋" w:eastAsia="仿宋" w:cs="仿宋"/>
          <w:sz w:val="24"/>
        </w:rPr>
        <w:t xml:space="preserve"> </w:t>
      </w:r>
      <w:r>
        <w:rPr>
          <w:rFonts w:hint="eastAsia" w:ascii="仿宋" w:hAnsi="仿宋" w:eastAsia="仿宋" w:cs="仿宋"/>
          <w:sz w:val="24"/>
        </w:rPr>
        <w:t>四川天成明超电缆有限公司（盖章）</w:t>
      </w:r>
      <w:r>
        <w:rPr>
          <w:rFonts w:ascii="仿宋" w:hAnsi="仿宋" w:eastAsia="仿宋" w:cs="仿宋"/>
          <w:sz w:val="24"/>
        </w:rPr>
        <w:t xml:space="preserve">    </w:t>
      </w:r>
      <w:r>
        <w:rPr>
          <w:rFonts w:hint="eastAsia" w:ascii="仿宋" w:hAnsi="仿宋" w:eastAsia="仿宋" w:cs="仿宋"/>
          <w:sz w:val="24"/>
        </w:rPr>
        <w:t>乙</w:t>
      </w:r>
      <w:r>
        <w:rPr>
          <w:rFonts w:ascii="仿宋" w:hAnsi="仿宋" w:eastAsia="仿宋" w:cs="仿宋"/>
          <w:sz w:val="24"/>
        </w:rPr>
        <w:t xml:space="preserve">  </w:t>
      </w:r>
      <w:r>
        <w:rPr>
          <w:rFonts w:hint="eastAsia" w:ascii="仿宋" w:hAnsi="仿宋" w:eastAsia="仿宋" w:cs="仿宋"/>
          <w:sz w:val="24"/>
        </w:rPr>
        <w:t>方：</w:t>
      </w:r>
      <w:r>
        <w:rPr>
          <w:rFonts w:ascii="仿宋" w:hAnsi="仿宋" w:eastAsia="仿宋" w:cs="仿宋"/>
          <w:sz w:val="24"/>
        </w:rPr>
        <w:t xml:space="preserve">                                </w:t>
      </w:r>
    </w:p>
    <w:p>
      <w:pPr>
        <w:spacing w:line="460" w:lineRule="exact"/>
        <w:rPr>
          <w:rFonts w:ascii="仿宋" w:hAnsi="仿宋" w:eastAsia="仿宋" w:cs="仿宋"/>
          <w:sz w:val="24"/>
        </w:rPr>
      </w:pPr>
      <w:r>
        <w:rPr>
          <w:rFonts w:hint="eastAsia" w:ascii="仿宋" w:hAnsi="仿宋" w:eastAsia="仿宋" w:cs="仿宋"/>
          <w:sz w:val="24"/>
        </w:rPr>
        <w:t>代表人：</w:t>
      </w:r>
      <w:r>
        <w:rPr>
          <w:rFonts w:ascii="仿宋" w:hAnsi="仿宋" w:eastAsia="仿宋" w:cs="仿宋"/>
          <w:sz w:val="24"/>
        </w:rPr>
        <w:t xml:space="preserve">                                       </w:t>
      </w:r>
      <w:r>
        <w:rPr>
          <w:rFonts w:hint="eastAsia" w:ascii="仿宋" w:hAnsi="仿宋" w:eastAsia="仿宋" w:cs="仿宋"/>
          <w:sz w:val="24"/>
        </w:rPr>
        <w:t>代表人：</w:t>
      </w:r>
      <w:r>
        <w:rPr>
          <w:rFonts w:ascii="仿宋" w:hAnsi="仿宋" w:eastAsia="仿宋" w:cs="仿宋"/>
          <w:sz w:val="24"/>
        </w:rPr>
        <w:t xml:space="preserve">                                </w:t>
      </w:r>
    </w:p>
    <w:p>
      <w:pPr>
        <w:spacing w:line="460" w:lineRule="exact"/>
        <w:rPr>
          <w:rFonts w:ascii="仿宋" w:hAnsi="仿宋" w:eastAsia="仿宋" w:cs="仿宋"/>
          <w:sz w:val="24"/>
        </w:rPr>
      </w:pP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pStyle w:val="2"/>
      </w:pPr>
    </w:p>
    <w:p/>
    <w:p>
      <w:pPr>
        <w:pStyle w:val="2"/>
      </w:pPr>
    </w:p>
    <w:p/>
    <w:p>
      <w:pPr>
        <w:pStyle w:val="2"/>
      </w:pPr>
    </w:p>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附件四：四川天成明超电缆有限公司货物承运方考核办法</w:t>
      </w:r>
    </w:p>
    <w:p>
      <w:pPr>
        <w:spacing w:before="120" w:beforeLines="50" w:after="120" w:afterLines="50" w:line="460" w:lineRule="exact"/>
        <w:jc w:val="center"/>
        <w:rPr>
          <w:rFonts w:ascii="仿宋" w:hAnsi="仿宋" w:eastAsia="仿宋" w:cs="仿宋"/>
          <w:sz w:val="24"/>
        </w:rPr>
      </w:pPr>
      <w:r>
        <w:rPr>
          <w:rFonts w:hint="eastAsia" w:ascii="仿宋" w:hAnsi="仿宋" w:eastAsia="仿宋" w:cs="仿宋"/>
          <w:sz w:val="24"/>
        </w:rPr>
        <w:t>四川天成明超电缆有限公司货物承运方考核办法</w:t>
      </w:r>
    </w:p>
    <w:p>
      <w:pPr>
        <w:spacing w:line="460" w:lineRule="exact"/>
        <w:ind w:firstLine="480"/>
        <w:rPr>
          <w:rFonts w:ascii="仿宋" w:hAnsi="仿宋" w:eastAsia="仿宋" w:cs="仿宋"/>
          <w:sz w:val="24"/>
        </w:rPr>
      </w:pPr>
      <w:r>
        <w:rPr>
          <w:rFonts w:hint="eastAsia" w:ascii="仿宋" w:hAnsi="仿宋" w:eastAsia="仿宋" w:cs="仿宋"/>
          <w:sz w:val="24"/>
        </w:rPr>
        <w:t>为了进一步加强我公司运输业务规范管理，客观、公正的对各货物承运方进行考评，保证运输工作高效、高质量推进，特制订本考核办法，适用于所有与我公司合作的承运公司。</w:t>
      </w:r>
    </w:p>
    <w:p>
      <w:pPr>
        <w:spacing w:line="460" w:lineRule="exact"/>
        <w:rPr>
          <w:rFonts w:ascii="仿宋" w:hAnsi="仿宋" w:eastAsia="仿宋" w:cs="仿宋"/>
          <w:sz w:val="24"/>
        </w:rPr>
      </w:pPr>
      <w:r>
        <w:rPr>
          <w:rFonts w:hint="eastAsia" w:ascii="仿宋" w:hAnsi="仿宋" w:eastAsia="仿宋" w:cs="仿宋"/>
          <w:sz w:val="24"/>
        </w:rPr>
        <w:t>第一条  考核办法</w:t>
      </w:r>
    </w:p>
    <w:p>
      <w:pPr>
        <w:spacing w:line="460" w:lineRule="exact"/>
        <w:ind w:firstLine="480"/>
        <w:rPr>
          <w:rFonts w:ascii="仿宋" w:hAnsi="仿宋" w:eastAsia="仿宋" w:cs="仿宋"/>
          <w:sz w:val="24"/>
        </w:rPr>
      </w:pPr>
      <w:r>
        <w:rPr>
          <w:rFonts w:hint="eastAsia" w:ascii="仿宋" w:hAnsi="仿宋" w:eastAsia="仿宋" w:cs="仿宋"/>
          <w:sz w:val="24"/>
        </w:rPr>
        <w:t>本考核满分按100分计算，采用逐项扣分办法，减除各项扣减分数后的得分为最终得分。</w:t>
      </w:r>
    </w:p>
    <w:p>
      <w:pPr>
        <w:spacing w:line="460" w:lineRule="exact"/>
        <w:rPr>
          <w:rFonts w:ascii="仿宋" w:hAnsi="仿宋" w:eastAsia="仿宋" w:cs="仿宋"/>
          <w:sz w:val="24"/>
        </w:rPr>
      </w:pPr>
      <w:r>
        <w:rPr>
          <w:rFonts w:hint="eastAsia" w:ascii="仿宋" w:hAnsi="仿宋" w:eastAsia="仿宋" w:cs="仿宋"/>
          <w:sz w:val="24"/>
        </w:rPr>
        <w:t>第二条  具体考核细则</w:t>
      </w:r>
    </w:p>
    <w:p>
      <w:pPr>
        <w:spacing w:line="460" w:lineRule="exact"/>
        <w:rPr>
          <w:rFonts w:ascii="仿宋" w:hAnsi="仿宋" w:eastAsia="仿宋" w:cs="仿宋"/>
          <w:iCs/>
          <w:sz w:val="24"/>
        </w:rPr>
      </w:pPr>
      <w:r>
        <w:rPr>
          <w:rFonts w:ascii="仿宋" w:hAnsi="仿宋" w:eastAsia="仿宋" w:cs="仿宋"/>
          <w:sz w:val="24"/>
        </w:rPr>
        <w:t xml:space="preserve">  </w:t>
      </w:r>
      <w:r>
        <w:rPr>
          <w:rFonts w:ascii="仿宋" w:hAnsi="仿宋" w:eastAsia="仿宋" w:cs="仿宋"/>
          <w:iCs/>
          <w:sz w:val="24"/>
        </w:rPr>
        <w:t xml:space="preserve">  </w:t>
      </w:r>
      <w:r>
        <w:rPr>
          <w:rFonts w:hint="eastAsia" w:ascii="仿宋" w:hAnsi="仿宋" w:eastAsia="仿宋" w:cs="仿宋"/>
          <w:iCs/>
          <w:sz w:val="24"/>
        </w:rPr>
        <w:t>1、运输公司应按合同要求为运输提供基本的条件</w:t>
      </w:r>
    </w:p>
    <w:p>
      <w:pPr>
        <w:spacing w:line="460" w:lineRule="exact"/>
        <w:rPr>
          <w:rFonts w:ascii="仿宋" w:hAnsi="仿宋" w:eastAsia="仿宋" w:cs="仿宋"/>
          <w:iCs/>
          <w:sz w:val="24"/>
        </w:rPr>
      </w:pPr>
      <w:r>
        <w:rPr>
          <w:rFonts w:hint="eastAsia" w:ascii="仿宋" w:hAnsi="仿宋" w:eastAsia="仿宋" w:cs="仿宋"/>
          <w:iCs/>
          <w:sz w:val="24"/>
        </w:rPr>
        <w:t xml:space="preserve">  1.1运输公司应提供满足项目要求的专业化信息系统及充分的项目运作人员，如提供的系统不完善或人员不充分导致下单延误或装卸效率低下的，每发生一次扣减2分；</w:t>
      </w:r>
    </w:p>
    <w:p>
      <w:pPr>
        <w:spacing w:line="460" w:lineRule="exact"/>
        <w:rPr>
          <w:rFonts w:ascii="仿宋" w:hAnsi="仿宋" w:eastAsia="仿宋" w:cs="仿宋"/>
          <w:iCs/>
          <w:sz w:val="24"/>
        </w:rPr>
      </w:pPr>
      <w:r>
        <w:rPr>
          <w:rFonts w:hint="eastAsia" w:ascii="仿宋" w:hAnsi="仿宋" w:eastAsia="仿宋" w:cs="仿宋"/>
          <w:iCs/>
          <w:sz w:val="24"/>
        </w:rPr>
        <w:t>1.2运输公司提供的车辆必须是技术性能良好，证照齐全、合法、有效，并购买了交强险、商业险、物流责任险。如果发现车辆证照存在问题或购买保险不齐全，每发生一次扣减5分。</w:t>
      </w:r>
    </w:p>
    <w:p>
      <w:pPr>
        <w:spacing w:line="460" w:lineRule="exact"/>
        <w:rPr>
          <w:rFonts w:ascii="仿宋" w:hAnsi="仿宋" w:eastAsia="仿宋" w:cs="仿宋"/>
          <w:iCs/>
          <w:sz w:val="24"/>
        </w:rPr>
      </w:pPr>
      <w:r>
        <w:rPr>
          <w:rFonts w:hint="eastAsia" w:ascii="仿宋" w:hAnsi="仿宋" w:eastAsia="仿宋" w:cs="仿宋"/>
          <w:iCs/>
          <w:sz w:val="24"/>
        </w:rPr>
        <w:t>2、运输公司车辆及人员进入我公司厂区应服从管理</w:t>
      </w:r>
    </w:p>
    <w:p>
      <w:pPr>
        <w:spacing w:line="460" w:lineRule="exact"/>
        <w:rPr>
          <w:rFonts w:ascii="仿宋" w:hAnsi="仿宋" w:eastAsia="仿宋" w:cs="仿宋"/>
          <w:iCs/>
          <w:sz w:val="24"/>
        </w:rPr>
      </w:pPr>
      <w:r>
        <w:rPr>
          <w:rFonts w:hint="eastAsia" w:ascii="仿宋" w:hAnsi="仿宋" w:eastAsia="仿宋" w:cs="仿宋"/>
          <w:iCs/>
          <w:sz w:val="24"/>
        </w:rPr>
        <w:t>2.1如果我公司要求运输公司人员统一着有我公司标识的服装送货，运输公司应予以配合，否则，发现一人，扣减2分；</w:t>
      </w:r>
    </w:p>
    <w:p>
      <w:pPr>
        <w:spacing w:line="460" w:lineRule="exact"/>
        <w:rPr>
          <w:rFonts w:ascii="仿宋" w:hAnsi="仿宋" w:eastAsia="仿宋" w:cs="仿宋"/>
          <w:iCs/>
          <w:sz w:val="24"/>
        </w:rPr>
      </w:pPr>
      <w:r>
        <w:rPr>
          <w:rFonts w:hint="eastAsia" w:ascii="仿宋" w:hAnsi="仿宋" w:eastAsia="仿宋" w:cs="仿宋"/>
          <w:iCs/>
          <w:sz w:val="24"/>
        </w:rPr>
        <w:t>2.2运输公司需符合我公司安全环保协议（见附件三）的规定，如有违反，发现一项扣减2分。</w:t>
      </w:r>
    </w:p>
    <w:p>
      <w:pPr>
        <w:spacing w:line="460" w:lineRule="exact"/>
        <w:rPr>
          <w:rFonts w:ascii="仿宋" w:hAnsi="仿宋" w:eastAsia="仿宋" w:cs="仿宋"/>
          <w:iCs/>
          <w:sz w:val="24"/>
        </w:rPr>
      </w:pPr>
      <w:r>
        <w:rPr>
          <w:rFonts w:hint="eastAsia" w:ascii="仿宋" w:hAnsi="仿宋" w:eastAsia="仿宋" w:cs="仿宋"/>
          <w:iCs/>
          <w:sz w:val="24"/>
        </w:rPr>
        <w:t>3运输公司应按约定承运货物</w:t>
      </w:r>
    </w:p>
    <w:p>
      <w:pPr>
        <w:spacing w:line="460" w:lineRule="exact"/>
        <w:rPr>
          <w:rFonts w:ascii="仿宋" w:hAnsi="仿宋" w:eastAsia="仿宋" w:cs="仿宋"/>
          <w:iCs/>
          <w:sz w:val="24"/>
        </w:rPr>
      </w:pPr>
      <w:r>
        <w:rPr>
          <w:rFonts w:hint="eastAsia" w:ascii="仿宋" w:hAnsi="仿宋" w:eastAsia="仿宋" w:cs="仿宋"/>
          <w:iCs/>
          <w:sz w:val="24"/>
        </w:rPr>
        <w:t>3.1运输公司需按合同约定及时上门取货，如有延迟，则一次扣减5分；</w:t>
      </w:r>
    </w:p>
    <w:p>
      <w:pPr>
        <w:spacing w:line="460" w:lineRule="exact"/>
        <w:rPr>
          <w:rFonts w:ascii="仿宋" w:hAnsi="仿宋" w:eastAsia="仿宋" w:cs="仿宋"/>
          <w:iCs/>
          <w:sz w:val="24"/>
        </w:rPr>
      </w:pPr>
      <w:r>
        <w:rPr>
          <w:rFonts w:hint="eastAsia" w:ascii="仿宋" w:hAnsi="仿宋" w:eastAsia="仿宋" w:cs="仿宋"/>
          <w:iCs/>
          <w:sz w:val="24"/>
        </w:rPr>
        <w:t>3.2运输公司应按照其承诺的时效（见附件一）准时交货及回单，如有延迟，一次扣减5分；</w:t>
      </w:r>
    </w:p>
    <w:p>
      <w:pPr>
        <w:spacing w:line="460" w:lineRule="exact"/>
        <w:rPr>
          <w:rFonts w:ascii="仿宋" w:hAnsi="仿宋" w:eastAsia="仿宋" w:cs="仿宋"/>
          <w:iCs/>
          <w:sz w:val="24"/>
        </w:rPr>
      </w:pPr>
      <w:r>
        <w:rPr>
          <w:rFonts w:hint="eastAsia" w:ascii="仿宋" w:hAnsi="仿宋" w:eastAsia="仿宋" w:cs="仿宋"/>
          <w:iCs/>
          <w:sz w:val="24"/>
        </w:rPr>
        <w:t>3.3运输公司应做好货物防护，确保货物安全、完整地到达目的地，如有发生货损，一次扣减10分；</w:t>
      </w:r>
    </w:p>
    <w:p>
      <w:pPr>
        <w:spacing w:line="460" w:lineRule="exact"/>
        <w:rPr>
          <w:rFonts w:ascii="仿宋" w:hAnsi="仿宋" w:eastAsia="仿宋" w:cs="仿宋"/>
          <w:iCs/>
          <w:sz w:val="24"/>
        </w:rPr>
      </w:pPr>
      <w:r>
        <w:rPr>
          <w:rFonts w:hint="eastAsia" w:ascii="仿宋" w:hAnsi="仿宋" w:eastAsia="仿宋" w:cs="仿宋"/>
          <w:iCs/>
          <w:sz w:val="24"/>
        </w:rPr>
        <w:t>3.4运输公司应按照客户要求将货物放置客户指定位置，如有违反，一次扣减10分；</w:t>
      </w:r>
    </w:p>
    <w:p>
      <w:pPr>
        <w:spacing w:line="460" w:lineRule="exact"/>
        <w:rPr>
          <w:rFonts w:ascii="仿宋" w:hAnsi="仿宋" w:eastAsia="仿宋" w:cs="仿宋"/>
          <w:iCs/>
          <w:sz w:val="24"/>
        </w:rPr>
      </w:pPr>
      <w:r>
        <w:rPr>
          <w:rFonts w:hint="eastAsia" w:ascii="仿宋" w:hAnsi="仿宋" w:eastAsia="仿宋" w:cs="仿宋"/>
          <w:iCs/>
          <w:sz w:val="24"/>
        </w:rPr>
        <w:t>3.5运输公司需代表我公司向客户提供优质的配送服务，如遭客户投诉，一次扣减10分。</w:t>
      </w:r>
    </w:p>
    <w:p>
      <w:pPr>
        <w:spacing w:line="460" w:lineRule="exact"/>
        <w:rPr>
          <w:rFonts w:ascii="仿宋" w:hAnsi="仿宋" w:eastAsia="仿宋" w:cs="仿宋"/>
          <w:iCs/>
          <w:sz w:val="24"/>
        </w:rPr>
      </w:pPr>
      <w:r>
        <w:rPr>
          <w:rFonts w:hint="eastAsia" w:ascii="仿宋" w:hAnsi="仿宋" w:eastAsia="仿宋" w:cs="仿宋"/>
          <w:iCs/>
          <w:sz w:val="24"/>
        </w:rPr>
        <w:t>3.7扣分项目及处罚金额如下表</w:t>
      </w:r>
    </w:p>
    <w:tbl>
      <w:tblPr>
        <w:tblStyle w:val="38"/>
        <w:tblW w:w="8340" w:type="dxa"/>
        <w:tblInd w:w="0" w:type="dxa"/>
        <w:tblLayout w:type="fixed"/>
        <w:tblCellMar>
          <w:top w:w="0" w:type="dxa"/>
          <w:left w:w="108" w:type="dxa"/>
          <w:bottom w:w="0" w:type="dxa"/>
          <w:right w:w="108" w:type="dxa"/>
        </w:tblCellMar>
      </w:tblPr>
      <w:tblGrid>
        <w:gridCol w:w="1392"/>
        <w:gridCol w:w="1156"/>
        <w:gridCol w:w="3078"/>
        <w:gridCol w:w="1254"/>
        <w:gridCol w:w="1460"/>
      </w:tblGrid>
      <w:tr>
        <w:tblPrEx>
          <w:tblCellMar>
            <w:top w:w="0" w:type="dxa"/>
            <w:left w:w="108" w:type="dxa"/>
            <w:bottom w:w="0" w:type="dxa"/>
            <w:right w:w="108" w:type="dxa"/>
          </w:tblCellMar>
        </w:tblPrEx>
        <w:trPr>
          <w:trHeight w:val="290" w:hRule="atLeast"/>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项目</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项目序号</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罚款明细项目</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每次扣分数</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每次罚款金额</w:t>
            </w:r>
          </w:p>
        </w:tc>
      </w:tr>
      <w:tr>
        <w:tblPrEx>
          <w:tblCellMar>
            <w:top w:w="0" w:type="dxa"/>
            <w:left w:w="108" w:type="dxa"/>
            <w:bottom w:w="0" w:type="dxa"/>
            <w:right w:w="108" w:type="dxa"/>
          </w:tblCellMar>
        </w:tblPrEx>
        <w:trPr>
          <w:trHeight w:val="234" w:hRule="atLeast"/>
        </w:trPr>
        <w:tc>
          <w:tcPr>
            <w:tcW w:w="1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1.安全环保协议及规章制度</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1.1</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违反安全环保要求</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1.2</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违反厂内规章要求</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1.3</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聘请使用违规车辆与司机</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1.5</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没有佩戴安全帽作业</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1.6</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在非吸烟区抽烟</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1.7</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没有保持厂内环境整洁</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1.8</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厂区内超速行驶</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1.9</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没有按要求停放车辆</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1.10</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违规使用厂内工具、叉车等</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570" w:hRule="atLeast"/>
        </w:trPr>
        <w:tc>
          <w:tcPr>
            <w:tcW w:w="1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2.配送要求</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2.1</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没有按时拿取发货申请单、检验报告</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2.2</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出货不及时导致货物积压影响进仓</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503"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2.3</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出货前没有联系客户确定送货时间</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2.4</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装车不规范(危险作业、货物摆放固定不规范、超载)</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2.5</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车辆出厂不配合检查、放行条与实物数量不一致</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2.6</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货物没有按要求时效准时到达</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2.7</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卸货不规范，货物高处滚落抛放，使用违规叉车吊车</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2.8</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不配合卸货、索取额外费用、不按指定位置卸货</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2.9</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单据携带、签收不完整,、回单不及时</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r>
        <w:tblPrEx>
          <w:tblCellMar>
            <w:top w:w="0" w:type="dxa"/>
            <w:left w:w="108" w:type="dxa"/>
            <w:bottom w:w="0" w:type="dxa"/>
            <w:right w:w="108" w:type="dxa"/>
          </w:tblCellMar>
        </w:tblPrEx>
        <w:trPr>
          <w:trHeight w:val="570"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2.10</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卸货后没有保持客户场地环境整洁</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2.11</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信息查询系统更新不及时</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6" w:hRule="atLeast"/>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2.12</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月度结算对接不及时</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3.货物安全性</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3.1</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货物防护不规范、运输、卸货等原因导致货物损失</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根据实际损失赔付</w:t>
            </w:r>
          </w:p>
        </w:tc>
      </w:tr>
      <w:tr>
        <w:tblPrEx>
          <w:tblCellMar>
            <w:top w:w="0" w:type="dxa"/>
            <w:left w:w="108" w:type="dxa"/>
            <w:bottom w:w="0" w:type="dxa"/>
            <w:right w:w="108"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4.服务质量</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4.1</w:t>
            </w:r>
          </w:p>
        </w:tc>
        <w:tc>
          <w:tcPr>
            <w:tcW w:w="30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仿宋" w:hAnsi="仿宋" w:eastAsia="仿宋" w:cs="仿宋"/>
                <w:sz w:val="24"/>
              </w:rPr>
            </w:pPr>
            <w:r>
              <w:rPr>
                <w:rFonts w:hint="eastAsia" w:ascii="仿宋" w:hAnsi="仿宋" w:eastAsia="仿宋" w:cs="仿宋"/>
                <w:sz w:val="24"/>
              </w:rPr>
              <w:t>收到投诉，核查为物流责任的</w:t>
            </w: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10</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500</w:t>
            </w:r>
          </w:p>
        </w:tc>
      </w:tr>
    </w:tbl>
    <w:p>
      <w:pPr>
        <w:spacing w:line="460" w:lineRule="exact"/>
        <w:rPr>
          <w:rFonts w:ascii="仿宋" w:hAnsi="仿宋" w:eastAsia="仿宋" w:cs="仿宋"/>
          <w:sz w:val="24"/>
        </w:rPr>
      </w:pP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本考核办法由我公司运输调度人员直接实施和记录，每月10号前完成上月各承运公司的考核评分，填写《四川天成明超电缆有限公司货物承运方月度考核评分表》，并附相关证明资料。每季度将考评结果作为运输业务分配及调整依据。</w:t>
      </w:r>
    </w:p>
    <w:p>
      <w:pPr>
        <w:spacing w:line="460" w:lineRule="exact"/>
        <w:rPr>
          <w:rFonts w:ascii="仿宋" w:hAnsi="仿宋" w:eastAsia="仿宋" w:cs="仿宋"/>
          <w:sz w:val="24"/>
        </w:rPr>
      </w:pPr>
      <w:r>
        <w:rPr>
          <w:rFonts w:hint="eastAsia" w:ascii="仿宋" w:hAnsi="仿宋" w:eastAsia="仿宋" w:cs="仿宋"/>
          <w:sz w:val="24"/>
        </w:rPr>
        <w:t xml:space="preserve">   </w:t>
      </w:r>
    </w:p>
    <w:p>
      <w:pPr>
        <w:spacing w:line="460" w:lineRule="exact"/>
        <w:rPr>
          <w:rFonts w:ascii="仿宋" w:hAnsi="仿宋" w:eastAsia="仿宋" w:cs="仿宋"/>
          <w:sz w:val="24"/>
        </w:rPr>
      </w:pPr>
    </w:p>
    <w:p>
      <w:pPr>
        <w:spacing w:line="460" w:lineRule="exact"/>
        <w:jc w:val="right"/>
        <w:rPr>
          <w:rFonts w:ascii="仿宋" w:hAnsi="仿宋" w:eastAsia="仿宋" w:cs="仿宋"/>
          <w:sz w:val="24"/>
        </w:rPr>
      </w:pPr>
      <w:r>
        <w:rPr>
          <w:rFonts w:hint="eastAsia" w:ascii="仿宋" w:hAnsi="仿宋" w:eastAsia="仿宋" w:cs="仿宋"/>
          <w:sz w:val="24"/>
        </w:rPr>
        <w:t xml:space="preserve"> 四川天成明超电缆有限公司</w:t>
      </w:r>
    </w:p>
    <w:p>
      <w:pPr>
        <w:spacing w:line="460" w:lineRule="exact"/>
        <w:jc w:val="right"/>
        <w:rPr>
          <w:rFonts w:ascii="仿宋" w:hAnsi="仿宋" w:eastAsia="仿宋" w:cs="仿宋"/>
          <w:sz w:val="24"/>
        </w:rPr>
      </w:pPr>
      <w:r>
        <w:rPr>
          <w:rFonts w:hint="eastAsia" w:ascii="仿宋" w:hAnsi="仿宋" w:eastAsia="仿宋" w:cs="仿宋"/>
          <w:sz w:val="24"/>
        </w:rPr>
        <w:t>2023年11月1</w:t>
      </w:r>
      <w:r>
        <w:rPr>
          <w:rFonts w:ascii="仿宋" w:hAnsi="仿宋" w:eastAsia="仿宋" w:cs="仿宋"/>
          <w:sz w:val="24"/>
        </w:rPr>
        <w:t>7</w:t>
      </w:r>
      <w:r>
        <w:rPr>
          <w:rFonts w:hint="eastAsia" w:ascii="仿宋" w:hAnsi="仿宋" w:eastAsia="仿宋" w:cs="仿宋"/>
          <w:sz w:val="24"/>
        </w:rPr>
        <w:t>日</w:t>
      </w:r>
    </w:p>
    <w:p>
      <w:pPr>
        <w:spacing w:line="460" w:lineRule="exact"/>
        <w:jc w:val="right"/>
        <w:rPr>
          <w:rFonts w:ascii="仿宋" w:hAnsi="仿宋" w:eastAsia="仿宋" w:cs="仿宋"/>
          <w:sz w:val="24"/>
        </w:rPr>
      </w:pPr>
    </w:p>
    <w:p>
      <w:pPr>
        <w:spacing w:line="460" w:lineRule="exact"/>
        <w:jc w:val="right"/>
        <w:rPr>
          <w:rFonts w:ascii="仿宋" w:hAnsi="仿宋" w:eastAsia="仿宋" w:cs="仿宋"/>
          <w:sz w:val="24"/>
        </w:rPr>
      </w:pPr>
    </w:p>
    <w:p>
      <w:pPr>
        <w:pStyle w:val="2"/>
      </w:pPr>
    </w:p>
    <w:p/>
    <w:p>
      <w:pPr>
        <w:pStyle w:val="2"/>
      </w:pPr>
    </w:p>
    <w:p/>
    <w:p>
      <w:pPr>
        <w:spacing w:line="460" w:lineRule="exact"/>
        <w:jc w:val="right"/>
        <w:rPr>
          <w:rFonts w:ascii="仿宋" w:hAnsi="仿宋" w:eastAsia="仿宋" w:cs="仿宋"/>
          <w:sz w:val="24"/>
        </w:rPr>
      </w:pPr>
    </w:p>
    <w:tbl>
      <w:tblPr>
        <w:tblStyle w:val="38"/>
        <w:tblW w:w="0" w:type="auto"/>
        <w:tblInd w:w="-20" w:type="dxa"/>
        <w:tblLayout w:type="fixed"/>
        <w:tblCellMar>
          <w:top w:w="0" w:type="dxa"/>
          <w:left w:w="108" w:type="dxa"/>
          <w:bottom w:w="0" w:type="dxa"/>
          <w:right w:w="108" w:type="dxa"/>
        </w:tblCellMar>
      </w:tblPr>
      <w:tblGrid>
        <w:gridCol w:w="1981"/>
        <w:gridCol w:w="1097"/>
        <w:gridCol w:w="865"/>
        <w:gridCol w:w="282"/>
        <w:gridCol w:w="1116"/>
        <w:gridCol w:w="1115"/>
        <w:gridCol w:w="1880"/>
      </w:tblGrid>
      <w:tr>
        <w:tblPrEx>
          <w:tblCellMar>
            <w:top w:w="0" w:type="dxa"/>
            <w:left w:w="108" w:type="dxa"/>
            <w:bottom w:w="0" w:type="dxa"/>
            <w:right w:w="108" w:type="dxa"/>
          </w:tblCellMar>
        </w:tblPrEx>
        <w:trPr>
          <w:trHeight w:val="667" w:hRule="atLeast"/>
        </w:trPr>
        <w:tc>
          <w:tcPr>
            <w:tcW w:w="8336" w:type="dxa"/>
            <w:gridSpan w:val="7"/>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 xml:space="preserve"> 四川天成明超电缆有限公司货物承运方月度考核评分表</w:t>
            </w:r>
          </w:p>
        </w:tc>
      </w:tr>
      <w:tr>
        <w:tblPrEx>
          <w:tblCellMar>
            <w:top w:w="0" w:type="dxa"/>
            <w:left w:w="108" w:type="dxa"/>
            <w:bottom w:w="0" w:type="dxa"/>
            <w:right w:w="108" w:type="dxa"/>
          </w:tblCellMar>
        </w:tblPrEx>
        <w:trPr>
          <w:trHeight w:val="667" w:hRule="atLeast"/>
        </w:trPr>
        <w:tc>
          <w:tcPr>
            <w:tcW w:w="23227" w:type="dxa"/>
            <w:gridSpan w:val="7"/>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28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right"/>
              <w:textAlignment w:val="center"/>
              <w:rPr>
                <w:rFonts w:ascii="仿宋" w:hAnsi="仿宋" w:eastAsia="仿宋" w:cs="仿宋"/>
                <w:sz w:val="24"/>
              </w:rPr>
            </w:pPr>
            <w:r>
              <w:rPr>
                <w:rFonts w:hint="eastAsia" w:ascii="仿宋" w:hAnsi="仿宋" w:eastAsia="仿宋" w:cs="仿宋"/>
                <w:sz w:val="24"/>
              </w:rPr>
              <w:t>承运单位:</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3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考核月份：</w:t>
            </w:r>
          </w:p>
        </w:tc>
        <w:tc>
          <w:tcPr>
            <w:tcW w:w="2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450" w:hRule="atLeast"/>
        </w:trPr>
        <w:tc>
          <w:tcPr>
            <w:tcW w:w="833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考核记录</w:t>
            </w:r>
          </w:p>
        </w:tc>
      </w:tr>
      <w:tr>
        <w:tblPrEx>
          <w:tblCellMar>
            <w:top w:w="0" w:type="dxa"/>
            <w:left w:w="108" w:type="dxa"/>
            <w:bottom w:w="0" w:type="dxa"/>
            <w:right w:w="108" w:type="dxa"/>
          </w:tblCellMar>
        </w:tblPrEx>
        <w:trPr>
          <w:trHeight w:val="28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扣分项</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总分分数</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textAlignment w:val="center"/>
              <w:rPr>
                <w:rFonts w:ascii="仿宋" w:hAnsi="仿宋" w:eastAsia="仿宋" w:cs="仿宋"/>
                <w:sz w:val="24"/>
              </w:rPr>
            </w:pPr>
            <w:r>
              <w:rPr>
                <w:rFonts w:hint="eastAsia" w:ascii="仿宋" w:hAnsi="仿宋" w:eastAsia="仿宋" w:cs="仿宋"/>
                <w:sz w:val="24"/>
              </w:rPr>
              <w:t>违反项目</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违反次数</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本月得分</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本月奖罚金额</w:t>
            </w:r>
          </w:p>
        </w:tc>
      </w:tr>
      <w:tr>
        <w:tblPrEx>
          <w:tblCellMar>
            <w:top w:w="0" w:type="dxa"/>
            <w:left w:w="108" w:type="dxa"/>
            <w:bottom w:w="0" w:type="dxa"/>
            <w:right w:w="108" w:type="dxa"/>
          </w:tblCellMar>
        </w:tblPrEx>
        <w:trPr>
          <w:trHeight w:val="73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1.安全环保协议及规章制度</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20</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82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textAlignment w:val="center"/>
              <w:rPr>
                <w:rFonts w:ascii="仿宋" w:hAnsi="仿宋" w:eastAsia="仿宋" w:cs="仿宋"/>
                <w:sz w:val="24"/>
              </w:rPr>
            </w:pPr>
            <w:r>
              <w:rPr>
                <w:rFonts w:hint="eastAsia" w:ascii="仿宋" w:hAnsi="仿宋" w:eastAsia="仿宋" w:cs="仿宋"/>
                <w:sz w:val="24"/>
              </w:rPr>
              <w:t>2.配送要求</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20</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668"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textAlignment w:val="center"/>
              <w:rPr>
                <w:rFonts w:ascii="仿宋" w:hAnsi="仿宋" w:eastAsia="仿宋" w:cs="仿宋"/>
                <w:sz w:val="24"/>
              </w:rPr>
            </w:pPr>
            <w:r>
              <w:rPr>
                <w:rFonts w:hint="eastAsia" w:ascii="仿宋" w:hAnsi="仿宋" w:eastAsia="仿宋" w:cs="仿宋"/>
                <w:sz w:val="24"/>
              </w:rPr>
              <w:t>3.货物安全性</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25</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677"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textAlignment w:val="center"/>
              <w:rPr>
                <w:rFonts w:ascii="仿宋" w:hAnsi="仿宋" w:eastAsia="仿宋" w:cs="仿宋"/>
                <w:sz w:val="24"/>
              </w:rPr>
            </w:pPr>
            <w:r>
              <w:rPr>
                <w:rFonts w:hint="eastAsia" w:ascii="仿宋" w:hAnsi="仿宋" w:eastAsia="仿宋" w:cs="仿宋"/>
                <w:sz w:val="24"/>
              </w:rPr>
              <w:t>4.服务质量</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25</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659"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textAlignment w:val="center"/>
              <w:rPr>
                <w:rFonts w:ascii="仿宋" w:hAnsi="仿宋" w:eastAsia="仿宋" w:cs="仿宋"/>
                <w:sz w:val="24"/>
              </w:rPr>
            </w:pPr>
            <w:r>
              <w:rPr>
                <w:rFonts w:hint="eastAsia" w:ascii="仿宋" w:hAnsi="仿宋" w:eastAsia="仿宋" w:cs="仿宋"/>
                <w:sz w:val="24"/>
              </w:rPr>
              <w:t>5.运营分析</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10</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286" w:hRule="atLeast"/>
        </w:trPr>
        <w:tc>
          <w:tcPr>
            <w:tcW w:w="833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总分为100分，分数不设下限，考核分数每月由储运部进行评定，详细扣分原因另附表格</w:t>
            </w:r>
          </w:p>
        </w:tc>
      </w:tr>
      <w:tr>
        <w:tblPrEx>
          <w:tblCellMar>
            <w:top w:w="0" w:type="dxa"/>
            <w:left w:w="108" w:type="dxa"/>
            <w:bottom w:w="0" w:type="dxa"/>
            <w:right w:w="108" w:type="dxa"/>
          </w:tblCellMar>
        </w:tblPrEx>
        <w:trPr>
          <w:trHeight w:val="28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考核总分：</w:t>
            </w:r>
          </w:p>
        </w:tc>
        <w:tc>
          <w:tcPr>
            <w:tcW w:w="63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286" w:hRule="atLeast"/>
        </w:trPr>
        <w:tc>
          <w:tcPr>
            <w:tcW w:w="19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textAlignment w:val="center"/>
              <w:rPr>
                <w:rFonts w:ascii="仿宋" w:hAnsi="仿宋" w:eastAsia="仿宋" w:cs="仿宋"/>
                <w:sz w:val="24"/>
              </w:rPr>
            </w:pPr>
            <w:r>
              <w:rPr>
                <w:rFonts w:hint="eastAsia" w:ascii="仿宋" w:hAnsi="仿宋" w:eastAsia="仿宋" w:cs="仿宋"/>
                <w:sz w:val="24"/>
              </w:rPr>
              <w:t>奖罚总金额：</w:t>
            </w:r>
          </w:p>
        </w:tc>
        <w:tc>
          <w:tcPr>
            <w:tcW w:w="63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60" w:lineRule="exact"/>
              <w:jc w:val="center"/>
              <w:rPr>
                <w:rFonts w:ascii="仿宋" w:hAnsi="仿宋" w:eastAsia="仿宋" w:cs="仿宋"/>
                <w:sz w:val="24"/>
              </w:rPr>
            </w:pPr>
          </w:p>
        </w:tc>
      </w:tr>
    </w:tbl>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附件五：廉洁协议书</w:t>
      </w:r>
    </w:p>
    <w:p>
      <w:pPr>
        <w:spacing w:line="460" w:lineRule="exact"/>
        <w:jc w:val="center"/>
        <w:rPr>
          <w:rFonts w:ascii="仿宋" w:hAnsi="仿宋" w:eastAsia="仿宋" w:cs="仿宋"/>
          <w:sz w:val="24"/>
        </w:rPr>
      </w:pPr>
      <w:r>
        <w:rPr>
          <w:rFonts w:hint="eastAsia" w:ascii="仿宋" w:hAnsi="仿宋" w:eastAsia="仿宋" w:cs="仿宋"/>
          <w:sz w:val="24"/>
        </w:rPr>
        <w:t>廉洁协议书</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为增强甲乙双方依法经营、廉洁从业意识，完善自我约束、自我监督机制，营造守法诚信、廉洁高效的工作环境，防止发生违法违纪行为，根据国家有关法律法规和廉洁自律规定，特签订本廉洁协议书。</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一、甲乙双方的共同责任</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（一）严格遵守国家关于市场准入、招标投标等市场经济活动的法律法规、政策以及廉洁建设规定。</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（二）严格履行合同约定，自觉承担合同义务。</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（三）所有业务活动坚持公开、公平、公正、诚信的原则（除法律法规另有规定的除外），不得为获取不正当利益，损害国家、集体和对方的利益。</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（四）建立健全自我约束机制，开展廉洁教育，公布举报电话，监督并认真查处违法违纪行为。</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（五）发现对方在业务活动中有违规、违纪、违法行为的，应及时提醒对方，情节严重的，应向有关纪检监察部门举报。</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二、甲方责任</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（一）严格按照国家有关法规、政策及上级主管范围有关文件精神，规范有关活动。</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（二）客观、公正地履行职责，不滥用职权，不徇私舞弊。</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（三）不得向乙方泄露设计有关业务活动的秘密。</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（四）不得接受乙方和相关单位任何形式的吃、喝、请、玩，不得向乙方和相关单位索要或接受回扣、红包、礼金、购物卡、有价证券、贵重物品等。</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（五）不得在乙方和相关单位报销任何应由甲方或个人支付的费用。</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（六）不得向乙方介绍亲属或亲友从事与甲方有关的经济活动，不得以任何理由向乙方和相关单位推荐第三方单位。</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（七）不得要求、暗示或接受乙方和相关单位为个人装修住房、婚丧嫁娶、配偶子女的工作安排及出国等提供方便。</w:t>
      </w:r>
      <w:r>
        <w:rPr>
          <w:rFonts w:ascii="仿宋" w:hAnsi="仿宋" w:eastAsia="仿宋" w:cs="仿宋"/>
          <w:sz w:val="24"/>
        </w:rPr>
        <w:tab/>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三、乙方责任</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（一）不得以任何理由为甲方相关人员、单位报销应由对方或个人支付的费用。</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（二）不得以任何理由向甲方相关人员提供任何形式的吃、喝、请、玩，不得以任何理由向甲方相关人员赠送回扣、红包、礼金、购物卡、有价证券、贵重物品等。</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（三）不得以任何理由为甲方相关人员、单位购置或提供交通工具、通讯工具或高档办公用品。</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（四）不得为甲方相关人员、单位装修住房、婚丧嫁娶、亲友工作安排及旅游提供方便。</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（五）不得以谋取非正当利益为目的，擅自与甲方工作人员就业务问题进行私下商谈或者达成利益默契。</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（六）发现甲方工作人员有违反本廉洁协议的，应及时向甲方单位举报，举报电话</w:t>
      </w:r>
      <w:r>
        <w:rPr>
          <w:rFonts w:ascii="仿宋" w:hAnsi="仿宋" w:eastAsia="仿宋" w:cs="仿宋"/>
          <w:sz w:val="24"/>
        </w:rPr>
        <w:t>：</w:t>
      </w:r>
      <w:r>
        <w:rPr>
          <w:rFonts w:hint="eastAsia" w:ascii="仿宋" w:hAnsi="仿宋" w:eastAsia="仿宋" w:cs="仿宋"/>
          <w:sz w:val="24"/>
        </w:rPr>
        <w:t>1</w:t>
      </w:r>
      <w:r>
        <w:rPr>
          <w:rFonts w:ascii="仿宋" w:hAnsi="仿宋" w:eastAsia="仿宋" w:cs="仿宋"/>
          <w:sz w:val="24"/>
        </w:rPr>
        <w:t>3888001548</w:t>
      </w:r>
      <w:r>
        <w:rPr>
          <w:rFonts w:hint="eastAsia" w:ascii="仿宋" w:hAnsi="仿宋" w:eastAsia="仿宋" w:cs="仿宋"/>
          <w:sz w:val="24"/>
        </w:rPr>
        <w:t>。</w:t>
      </w:r>
    </w:p>
    <w:p>
      <w:pPr>
        <w:spacing w:line="46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四、违约责任</w:t>
      </w:r>
    </w:p>
    <w:p>
      <w:pPr>
        <w:spacing w:line="460" w:lineRule="exact"/>
        <w:ind w:firstLine="435"/>
        <w:rPr>
          <w:rFonts w:ascii="仿宋" w:hAnsi="仿宋" w:eastAsia="仿宋" w:cs="仿宋"/>
          <w:sz w:val="24"/>
        </w:rPr>
      </w:pPr>
      <w:r>
        <w:rPr>
          <w:rFonts w:hint="eastAsia" w:ascii="仿宋" w:hAnsi="仿宋" w:eastAsia="仿宋" w:cs="仿宋"/>
          <w:sz w:val="24"/>
        </w:rPr>
        <w:t>任何一方有违反本廉洁协议书的，根据国家有关法律法规、规章制度和甲方公司的有关规定进行处理；涉嫌犯罪的，依法移交司法机关追究刑事责任。若给对方造成损失的，应予以赔偿。</w:t>
      </w:r>
      <w:r>
        <w:rPr>
          <w:rFonts w:ascii="仿宋" w:hAnsi="仿宋" w:eastAsia="仿宋" w:cs="仿宋"/>
          <w:sz w:val="24"/>
        </w:rPr>
        <w:t xml:space="preserve"> </w:t>
      </w:r>
    </w:p>
    <w:p>
      <w:pPr>
        <w:spacing w:line="460" w:lineRule="exact"/>
        <w:ind w:firstLine="435"/>
        <w:rPr>
          <w:rFonts w:ascii="仿宋" w:hAnsi="仿宋" w:eastAsia="仿宋" w:cs="仿宋"/>
          <w:sz w:val="24"/>
        </w:rPr>
      </w:pPr>
      <w:r>
        <w:rPr>
          <w:rFonts w:hint="eastAsia" w:ascii="仿宋" w:hAnsi="仿宋" w:eastAsia="仿宋" w:cs="仿宋"/>
          <w:sz w:val="24"/>
        </w:rPr>
        <w:t>五、协议书生效及法律效力</w:t>
      </w:r>
    </w:p>
    <w:p>
      <w:pPr>
        <w:spacing w:line="460" w:lineRule="exact"/>
        <w:ind w:firstLine="435"/>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本协议书作为合同附件，与合同具有同等法律效力，经双方签字盖章后生效。</w:t>
      </w:r>
    </w:p>
    <w:p>
      <w:pPr>
        <w:spacing w:line="276" w:lineRule="auto"/>
        <w:ind w:firstLine="435"/>
        <w:rPr>
          <w:rFonts w:ascii="仿宋" w:hAnsi="仿宋" w:eastAsia="仿宋" w:cs="仿宋"/>
          <w:sz w:val="24"/>
        </w:rPr>
      </w:pPr>
      <w:r>
        <w:rPr>
          <w:rFonts w:hint="eastAsia" w:ascii="仿宋" w:hAnsi="仿宋" w:eastAsia="仿宋" w:cs="仿宋"/>
          <w:sz w:val="24"/>
        </w:rPr>
        <w:t>以下无正文。</w:t>
      </w:r>
    </w:p>
    <w:p>
      <w:pPr>
        <w:spacing w:line="360" w:lineRule="auto"/>
        <w:ind w:firstLine="435"/>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甲</w:t>
      </w:r>
      <w:r>
        <w:rPr>
          <w:rFonts w:ascii="仿宋" w:hAnsi="仿宋" w:eastAsia="仿宋" w:cs="仿宋"/>
          <w:sz w:val="24"/>
        </w:rPr>
        <w:t xml:space="preserve">    </w:t>
      </w:r>
      <w:r>
        <w:rPr>
          <w:rFonts w:hint="eastAsia" w:ascii="仿宋" w:hAnsi="仿宋" w:eastAsia="仿宋" w:cs="仿宋"/>
          <w:sz w:val="24"/>
        </w:rPr>
        <w:t>方：</w:t>
      </w:r>
      <w:r>
        <w:rPr>
          <w:rFonts w:ascii="仿宋" w:hAnsi="仿宋" w:eastAsia="仿宋" w:cs="仿宋"/>
          <w:sz w:val="24"/>
        </w:rPr>
        <w:t xml:space="preserve"> </w:t>
      </w:r>
      <w:r>
        <w:rPr>
          <w:rFonts w:hint="eastAsia" w:ascii="仿宋" w:hAnsi="仿宋" w:eastAsia="仿宋" w:cs="仿宋"/>
          <w:sz w:val="24"/>
        </w:rPr>
        <w:t>四川天成明超电缆有限公司（盖章）</w:t>
      </w:r>
      <w:r>
        <w:rPr>
          <w:rFonts w:ascii="仿宋" w:hAnsi="仿宋" w:eastAsia="仿宋" w:cs="仿宋"/>
          <w:sz w:val="24"/>
        </w:rPr>
        <w:t xml:space="preserve">       </w:t>
      </w:r>
      <w:r>
        <w:rPr>
          <w:rFonts w:hint="eastAsia" w:ascii="仿宋" w:hAnsi="仿宋" w:eastAsia="仿宋" w:cs="仿宋"/>
          <w:sz w:val="24"/>
        </w:rPr>
        <w:t>乙</w:t>
      </w:r>
      <w:r>
        <w:rPr>
          <w:rFonts w:ascii="仿宋" w:hAnsi="仿宋" w:eastAsia="仿宋" w:cs="仿宋"/>
          <w:sz w:val="24"/>
        </w:rPr>
        <w:t xml:space="preserve">    </w:t>
      </w:r>
      <w:r>
        <w:rPr>
          <w:rFonts w:hint="eastAsia" w:ascii="仿宋" w:hAnsi="仿宋" w:eastAsia="仿宋" w:cs="仿宋"/>
          <w:sz w:val="24"/>
        </w:rPr>
        <w:t>方：</w:t>
      </w:r>
      <w:r>
        <w:rPr>
          <w:rFonts w:ascii="仿宋" w:hAnsi="仿宋" w:eastAsia="仿宋" w:cs="仿宋"/>
          <w:sz w:val="24"/>
        </w:rPr>
        <w:t xml:space="preserve">                             </w:t>
      </w:r>
    </w:p>
    <w:p>
      <w:pPr>
        <w:spacing w:line="480" w:lineRule="auto"/>
        <w:rPr>
          <w:rFonts w:ascii="仿宋" w:hAnsi="仿宋" w:eastAsia="仿宋" w:cs="仿宋"/>
          <w:sz w:val="24"/>
        </w:rPr>
      </w:pPr>
      <w:r>
        <w:rPr>
          <w:rFonts w:hint="eastAsia" w:ascii="仿宋" w:hAnsi="仿宋" w:eastAsia="仿宋" w:cs="仿宋"/>
          <w:sz w:val="24"/>
        </w:rPr>
        <w:t>代表人：</w:t>
      </w:r>
      <w:r>
        <w:rPr>
          <w:rFonts w:ascii="仿宋" w:hAnsi="仿宋" w:eastAsia="仿宋" w:cs="仿宋"/>
          <w:sz w:val="24"/>
        </w:rPr>
        <w:t xml:space="preserve">                                          </w:t>
      </w:r>
      <w:r>
        <w:rPr>
          <w:rFonts w:hint="eastAsia" w:ascii="仿宋" w:hAnsi="仿宋" w:eastAsia="仿宋" w:cs="仿宋"/>
          <w:sz w:val="24"/>
        </w:rPr>
        <w:t>代表人：</w:t>
      </w:r>
      <w:r>
        <w:rPr>
          <w:rFonts w:ascii="仿宋" w:hAnsi="仿宋" w:eastAsia="仿宋" w:cs="仿宋"/>
          <w:sz w:val="24"/>
        </w:rPr>
        <w:t xml:space="preserve">                             </w:t>
      </w:r>
    </w:p>
    <w:p>
      <w:pPr>
        <w:spacing w:line="480" w:lineRule="auto"/>
        <w:rPr>
          <w:rFonts w:ascii="仿宋" w:hAnsi="仿宋" w:eastAsia="仿宋" w:cs="仿宋"/>
          <w:sz w:val="24"/>
        </w:rPr>
      </w:pP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spacing w:line="400" w:lineRule="exact"/>
        <w:ind w:firstLine="480" w:firstLineChars="200"/>
        <w:rPr>
          <w:rFonts w:ascii="仿宋" w:hAnsi="仿宋" w:eastAsia="仿宋"/>
          <w:iCs/>
          <w:kern w:val="0"/>
          <w:sz w:val="24"/>
        </w:rPr>
      </w:pPr>
    </w:p>
    <w:bookmarkEnd w:id="348"/>
    <w:p>
      <w:pPr>
        <w:pStyle w:val="3"/>
        <w:rPr>
          <w:color w:val="auto"/>
        </w:rPr>
      </w:pPr>
    </w:p>
    <w:p>
      <w:pPr>
        <w:pStyle w:val="2"/>
      </w:pPr>
    </w:p>
    <w:p/>
    <w:p>
      <w:pPr>
        <w:pStyle w:val="3"/>
        <w:rPr>
          <w:color w:val="auto"/>
        </w:rPr>
      </w:pPr>
    </w:p>
    <w:p>
      <w:pPr>
        <w:pStyle w:val="3"/>
        <w:rPr>
          <w:color w:val="auto"/>
        </w:rPr>
      </w:pPr>
      <w:bookmarkStart w:id="349" w:name="_Toc151390397"/>
      <w:r>
        <w:rPr>
          <w:rFonts w:hint="eastAsia"/>
          <w:color w:val="auto"/>
        </w:rPr>
        <w:t>第五章  投标文件格式及内容</w:t>
      </w:r>
      <w:bookmarkEnd w:id="349"/>
    </w:p>
    <w:p>
      <w:pPr>
        <w:spacing w:line="360" w:lineRule="auto"/>
        <w:rPr>
          <w:rFonts w:ascii="仿宋_GB2312" w:eastAsia="仿宋_GB2312"/>
          <w:sz w:val="24"/>
        </w:rPr>
      </w:pPr>
    </w:p>
    <w:p>
      <w:pPr>
        <w:widowControl/>
        <w:jc w:val="left"/>
        <w:rPr>
          <w:rFonts w:ascii="仿宋_GB2312" w:eastAsia="仿宋_GB2312"/>
          <w:sz w:val="24"/>
        </w:rPr>
      </w:pPr>
      <w:r>
        <w:rPr>
          <w:rFonts w:hint="eastAsia" w:ascii="仿宋_GB2312" w:eastAsia="仿宋_GB2312"/>
          <w:kern w:val="0"/>
          <w:sz w:val="24"/>
        </w:rPr>
        <w:br w:type="page"/>
      </w:r>
    </w:p>
    <w:p>
      <w:pPr>
        <w:ind w:firstLine="560"/>
        <w:jc w:val="right"/>
        <w:rPr>
          <w:rFonts w:ascii="仿宋_GB2312" w:hAnsi="宋体" w:eastAsia="仿宋_GB2312"/>
          <w:b/>
          <w:bCs/>
        </w:rPr>
      </w:pPr>
      <w:r>
        <w:rPr>
          <w:rFonts w:hint="eastAsia" w:ascii="仿宋_GB2312" w:hAnsi="宋体" w:eastAsia="仿宋_GB2312"/>
          <w:b/>
          <w:bCs/>
          <w:sz w:val="28"/>
          <w:szCs w:val="28"/>
        </w:rPr>
        <w:t xml:space="preserve"> 招标编号:</w:t>
      </w:r>
      <w:r>
        <w:rPr>
          <w:b/>
          <w:bCs/>
        </w:rPr>
        <w:t xml:space="preserve"> </w:t>
      </w:r>
      <w:r>
        <w:rPr>
          <w:rFonts w:hint="eastAsia" w:ascii="宋体" w:hAnsi="宋体" w:cs="宋体"/>
          <w:sz w:val="24"/>
          <w:lang w:val="zh-CN"/>
        </w:rPr>
        <w:t>T</w:t>
      </w:r>
      <w:r>
        <w:rPr>
          <w:rFonts w:ascii="宋体" w:hAnsi="宋体" w:cs="宋体"/>
          <w:sz w:val="24"/>
          <w:lang w:val="zh-CN"/>
        </w:rPr>
        <w:t>CMC-WL20231101</w:t>
      </w:r>
    </w:p>
    <w:p>
      <w:pPr>
        <w:jc w:val="center"/>
        <w:rPr>
          <w:rFonts w:ascii="宋体" w:hAnsi="宋体"/>
          <w:b/>
          <w:spacing w:val="32"/>
          <w:w w:val="90"/>
          <w:sz w:val="52"/>
          <w:szCs w:val="52"/>
        </w:rPr>
      </w:pPr>
      <w:r>
        <w:rPr>
          <w:rFonts w:hint="eastAsia" w:ascii="宋体" w:hAnsi="宋体"/>
          <w:b/>
          <w:spacing w:val="32"/>
          <w:w w:val="90"/>
          <w:sz w:val="52"/>
          <w:szCs w:val="52"/>
        </w:rPr>
        <w:t>四川天成明超电缆有限公司</w:t>
      </w:r>
    </w:p>
    <w:p>
      <w:pPr>
        <w:jc w:val="center"/>
        <w:rPr>
          <w:rFonts w:ascii="宋体" w:hAnsi="宋体"/>
          <w:b/>
          <w:spacing w:val="32"/>
          <w:w w:val="90"/>
          <w:sz w:val="52"/>
          <w:szCs w:val="52"/>
        </w:rPr>
      </w:pPr>
      <w:r>
        <w:rPr>
          <w:rFonts w:hint="eastAsia" w:ascii="宋体" w:hAnsi="宋体"/>
          <w:b/>
          <w:spacing w:val="32"/>
          <w:w w:val="90"/>
          <w:sz w:val="52"/>
          <w:szCs w:val="52"/>
        </w:rPr>
        <w:t>2024年度物流运输服务项目</w:t>
      </w:r>
    </w:p>
    <w:p>
      <w:pPr>
        <w:pStyle w:val="2"/>
      </w:pPr>
    </w:p>
    <w:p>
      <w:pPr>
        <w:jc w:val="center"/>
        <w:rPr>
          <w:rFonts w:ascii="宋体" w:hAnsi="宋体"/>
          <w:b/>
          <w:spacing w:val="32"/>
          <w:w w:val="90"/>
          <w:sz w:val="72"/>
          <w:szCs w:val="72"/>
        </w:rPr>
      </w:pPr>
      <w:r>
        <w:rPr>
          <w:rFonts w:hint="eastAsia" w:ascii="宋体" w:hAnsi="宋体"/>
          <w:b/>
          <w:spacing w:val="32"/>
          <w:w w:val="90"/>
          <w:sz w:val="72"/>
          <w:szCs w:val="72"/>
        </w:rPr>
        <w:t>投标文件</w:t>
      </w:r>
    </w:p>
    <w:p>
      <w:pPr>
        <w:ind w:firstLine="674"/>
        <w:jc w:val="center"/>
        <w:rPr>
          <w:rFonts w:ascii="仿宋_GB2312" w:hAnsi="宋体" w:eastAsia="仿宋_GB2312"/>
          <w:b/>
          <w:spacing w:val="32"/>
          <w:w w:val="90"/>
          <w:sz w:val="30"/>
          <w:szCs w:val="30"/>
        </w:rPr>
      </w:pPr>
    </w:p>
    <w:p>
      <w:pPr>
        <w:ind w:firstLine="674"/>
        <w:jc w:val="center"/>
        <w:rPr>
          <w:rFonts w:ascii="仿宋_GB2312" w:hAnsi="宋体" w:eastAsia="仿宋_GB2312"/>
          <w:b/>
          <w:spacing w:val="32"/>
          <w:w w:val="90"/>
          <w:sz w:val="30"/>
          <w:szCs w:val="30"/>
        </w:rPr>
      </w:pPr>
    </w:p>
    <w:p>
      <w:pPr>
        <w:ind w:firstLine="674"/>
        <w:jc w:val="center"/>
        <w:rPr>
          <w:rFonts w:ascii="仿宋_GB2312" w:hAnsi="宋体" w:eastAsia="仿宋_GB2312"/>
          <w:b/>
          <w:spacing w:val="32"/>
          <w:w w:val="90"/>
          <w:sz w:val="30"/>
          <w:szCs w:val="30"/>
        </w:rPr>
      </w:pPr>
    </w:p>
    <w:p>
      <w:pPr>
        <w:snapToGrid w:val="0"/>
        <w:jc w:val="center"/>
        <w:rPr>
          <w:rFonts w:ascii="仿宋_GB2312" w:hAnsi="宋体" w:eastAsia="仿宋_GB2312"/>
          <w:b/>
          <w:spacing w:val="32"/>
          <w:w w:val="90"/>
          <w:sz w:val="48"/>
          <w:szCs w:val="48"/>
        </w:rPr>
      </w:pPr>
    </w:p>
    <w:p>
      <w:pPr>
        <w:ind w:firstLine="180"/>
        <w:jc w:val="center"/>
        <w:rPr>
          <w:rFonts w:ascii="宋体" w:hAnsi="宋体"/>
          <w:w w:val="90"/>
          <w:sz w:val="10"/>
          <w:szCs w:val="10"/>
        </w:rPr>
      </w:pPr>
    </w:p>
    <w:p>
      <w:pPr>
        <w:spacing w:line="480" w:lineRule="auto"/>
        <w:jc w:val="center"/>
      </w:pPr>
    </w:p>
    <w:p>
      <w:pPr>
        <w:spacing w:line="480" w:lineRule="auto"/>
        <w:jc w:val="center"/>
      </w:pPr>
    </w:p>
    <w:p>
      <w:pPr>
        <w:rPr>
          <w:rFonts w:eastAsia="黑体"/>
          <w:sz w:val="28"/>
          <w:szCs w:val="28"/>
        </w:rPr>
      </w:pPr>
    </w:p>
    <w:p>
      <w:pPr>
        <w:rPr>
          <w:rFonts w:eastAsia="黑体"/>
          <w:sz w:val="28"/>
          <w:szCs w:val="28"/>
        </w:rPr>
      </w:pPr>
    </w:p>
    <w:p>
      <w:pPr>
        <w:ind w:firstLine="1138" w:firstLineChars="405"/>
        <w:jc w:val="left"/>
        <w:rPr>
          <w:rFonts w:ascii="宋体" w:hAnsi="宋体"/>
          <w:b/>
          <w:sz w:val="28"/>
          <w:szCs w:val="28"/>
          <w:u w:val="single"/>
        </w:rPr>
      </w:pPr>
      <w:r>
        <w:rPr>
          <w:rFonts w:hint="eastAsia" w:ascii="宋体" w:hAnsi="宋体"/>
          <w:b/>
          <w:sz w:val="28"/>
          <w:szCs w:val="28"/>
        </w:rPr>
        <w:t>投标人：（盖单位章）</w:t>
      </w:r>
    </w:p>
    <w:p>
      <w:pPr>
        <w:ind w:firstLine="1138" w:firstLineChars="405"/>
        <w:jc w:val="left"/>
        <w:rPr>
          <w:rFonts w:ascii="宋体" w:hAnsi="宋体"/>
          <w:b/>
          <w:sz w:val="28"/>
          <w:szCs w:val="28"/>
        </w:rPr>
      </w:pPr>
      <w:r>
        <w:rPr>
          <w:rFonts w:hint="eastAsia" w:ascii="宋体" w:hAnsi="宋体"/>
          <w:b/>
          <w:sz w:val="28"/>
          <w:szCs w:val="28"/>
        </w:rPr>
        <w:t>法定代表人或其委托代理人：（签字）</w:t>
      </w:r>
    </w:p>
    <w:p>
      <w:pPr>
        <w:ind w:firstLine="1138" w:firstLineChars="405"/>
        <w:jc w:val="center"/>
        <w:rPr>
          <w:rFonts w:ascii="宋体" w:hAnsi="宋体"/>
          <w:b/>
          <w:sz w:val="28"/>
          <w:szCs w:val="28"/>
        </w:rPr>
      </w:pPr>
      <w:r>
        <w:rPr>
          <w:rFonts w:hint="eastAsia" w:ascii="宋体" w:hAnsi="宋体"/>
          <w:b/>
          <w:sz w:val="28"/>
          <w:szCs w:val="28"/>
        </w:rPr>
        <w:t>年     月     日</w:t>
      </w:r>
    </w:p>
    <w:p>
      <w:pPr>
        <w:pStyle w:val="2"/>
        <w:jc w:val="center"/>
      </w:pPr>
      <w:r>
        <w:rPr>
          <w:rFonts w:ascii="Cambria" w:hAnsi="Cambria" w:eastAsia="黑体"/>
          <w:b w:val="0"/>
          <w:bCs w:val="0"/>
        </w:rPr>
        <w:br w:type="page"/>
      </w:r>
      <w:bookmarkStart w:id="350" w:name="_Toc474419161"/>
      <w:bookmarkStart w:id="351" w:name="_Toc24450"/>
      <w:bookmarkStart w:id="352" w:name="_Toc151390398"/>
      <w:bookmarkStart w:id="353" w:name="_Toc391556612"/>
      <w:bookmarkStart w:id="354" w:name="_Toc246997098"/>
      <w:bookmarkStart w:id="355" w:name="_Toc179632807"/>
      <w:bookmarkStart w:id="356" w:name="_Toc349822490"/>
      <w:bookmarkStart w:id="357" w:name="_Toc246996355"/>
      <w:bookmarkStart w:id="358" w:name="_Toc337496466"/>
      <w:bookmarkStart w:id="359" w:name="_Toc352160848"/>
      <w:bookmarkStart w:id="360" w:name="_Toc152045787"/>
      <w:bookmarkStart w:id="361" w:name="_Toc345859165"/>
      <w:bookmarkStart w:id="362" w:name="_Toc152042576"/>
      <w:bookmarkStart w:id="363" w:name="_Toc144974856"/>
      <w:bookmarkStart w:id="364" w:name="_Toc337812903"/>
      <w:bookmarkStart w:id="365" w:name="_Toc338094015"/>
      <w:bookmarkStart w:id="366" w:name="_Toc337797839"/>
      <w:bookmarkStart w:id="367" w:name="_Toc247085873"/>
      <w:r>
        <w:rPr>
          <w:rFonts w:hint="eastAsia"/>
        </w:rPr>
        <w:t>投标人</w:t>
      </w:r>
      <w:r>
        <w:t>资格条件自查表</w:t>
      </w:r>
      <w:bookmarkEnd w:id="350"/>
      <w:bookmarkEnd w:id="351"/>
      <w:bookmarkEnd w:id="352"/>
    </w:p>
    <w:p>
      <w:pPr>
        <w:spacing w:line="480" w:lineRule="auto"/>
        <w:jc w:val="center"/>
        <w:rPr>
          <w:rFonts w:ascii="仿宋_GB2312" w:eastAsia="仿宋_GB2312"/>
          <w:b/>
          <w:sz w:val="30"/>
          <w:szCs w:val="30"/>
        </w:rPr>
      </w:pPr>
      <w:r>
        <w:rPr>
          <w:rFonts w:hint="eastAsia" w:ascii="仿宋_GB2312" w:eastAsia="仿宋_GB2312"/>
          <w:b/>
          <w:sz w:val="30"/>
          <w:szCs w:val="30"/>
        </w:rPr>
        <w:t>（</w:t>
      </w:r>
      <w:r>
        <w:rPr>
          <w:rFonts w:hint="eastAsia" w:ascii="仿宋_GB2312" w:eastAsia="仿宋_GB2312"/>
          <w:b/>
          <w:color w:val="FF0000"/>
          <w:sz w:val="30"/>
          <w:szCs w:val="30"/>
        </w:rPr>
        <w:t>必须填写</w:t>
      </w:r>
      <w:r>
        <w:rPr>
          <w:rFonts w:hint="eastAsia" w:ascii="仿宋_GB2312" w:eastAsia="仿宋_GB2312"/>
          <w:b/>
          <w:sz w:val="30"/>
          <w:szCs w:val="30"/>
        </w:rPr>
        <w:t>，并以招标</w:t>
      </w:r>
      <w:r>
        <w:rPr>
          <w:rFonts w:ascii="仿宋_GB2312" w:eastAsia="仿宋_GB2312"/>
          <w:b/>
          <w:sz w:val="30"/>
          <w:szCs w:val="30"/>
        </w:rPr>
        <w:t>公告</w:t>
      </w:r>
      <w:r>
        <w:rPr>
          <w:rFonts w:hint="eastAsia" w:ascii="仿宋_GB2312" w:eastAsia="仿宋_GB2312"/>
          <w:b/>
          <w:sz w:val="30"/>
          <w:szCs w:val="30"/>
        </w:rPr>
        <w:t>中投标人</w:t>
      </w:r>
      <w:r>
        <w:rPr>
          <w:rFonts w:ascii="仿宋_GB2312" w:eastAsia="仿宋_GB2312"/>
          <w:b/>
          <w:sz w:val="30"/>
          <w:szCs w:val="30"/>
        </w:rPr>
        <w:t>资格要求为准）</w:t>
      </w:r>
    </w:p>
    <w:tbl>
      <w:tblPr>
        <w:tblStyle w:val="3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4"/>
        <w:gridCol w:w="186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264" w:type="dxa"/>
            <w:vAlign w:val="center"/>
          </w:tcPr>
          <w:p>
            <w:pPr>
              <w:widowControl/>
              <w:topLinePunct/>
              <w:spacing w:line="440" w:lineRule="exact"/>
              <w:jc w:val="center"/>
              <w:rPr>
                <w:rFonts w:ascii="仿宋_GB2312" w:eastAsia="仿宋_GB2312"/>
                <w:kern w:val="0"/>
                <w:sz w:val="24"/>
              </w:rPr>
            </w:pPr>
            <w:r>
              <w:rPr>
                <w:rFonts w:hint="eastAsia" w:ascii="微软雅黑" w:hAnsi="微软雅黑" w:eastAsia="微软雅黑" w:cs="微软雅黑"/>
                <w:kern w:val="0"/>
                <w:sz w:val="24"/>
              </w:rPr>
              <w:t>资格要求</w:t>
            </w:r>
          </w:p>
        </w:tc>
        <w:tc>
          <w:tcPr>
            <w:tcW w:w="1866" w:type="dxa"/>
            <w:vAlign w:val="center"/>
          </w:tcPr>
          <w:p>
            <w:pPr>
              <w:widowControl/>
              <w:topLinePunct/>
              <w:spacing w:line="440" w:lineRule="exact"/>
              <w:jc w:val="center"/>
              <w:rPr>
                <w:rFonts w:ascii="仿宋_GB2312" w:eastAsia="仿宋_GB2312"/>
                <w:kern w:val="0"/>
                <w:sz w:val="24"/>
              </w:rPr>
            </w:pPr>
            <w:r>
              <w:rPr>
                <w:rFonts w:hint="eastAsia" w:ascii="微软雅黑" w:hAnsi="微软雅黑" w:eastAsia="微软雅黑" w:cs="微软雅黑"/>
                <w:kern w:val="0"/>
                <w:sz w:val="24"/>
              </w:rPr>
              <w:t>投标人须填写简单的内容</w:t>
            </w:r>
          </w:p>
        </w:tc>
        <w:tc>
          <w:tcPr>
            <w:tcW w:w="1507" w:type="dxa"/>
            <w:vAlign w:val="center"/>
          </w:tcPr>
          <w:p>
            <w:pPr>
              <w:widowControl/>
              <w:topLinePunct/>
              <w:spacing w:line="440" w:lineRule="exact"/>
              <w:jc w:val="center"/>
              <w:rPr>
                <w:rFonts w:ascii="仿宋_GB2312" w:eastAsia="仿宋_GB2312"/>
                <w:kern w:val="0"/>
                <w:sz w:val="24"/>
              </w:rPr>
            </w:pPr>
            <w:r>
              <w:rPr>
                <w:rFonts w:hint="eastAsia" w:ascii="微软雅黑" w:hAnsi="微软雅黑" w:eastAsia="微软雅黑" w:cs="微软雅黑"/>
                <w:kern w:val="0"/>
                <w:sz w:val="24"/>
              </w:rPr>
              <w:t>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64" w:type="dxa"/>
          </w:tcPr>
          <w:p>
            <w:pPr>
              <w:widowControl/>
              <w:topLinePunct/>
              <w:spacing w:line="440" w:lineRule="exact"/>
              <w:jc w:val="left"/>
              <w:rPr>
                <w:rFonts w:ascii="仿宋_GB2312" w:eastAsia="仿宋_GB2312"/>
                <w:kern w:val="0"/>
                <w:sz w:val="24"/>
              </w:rPr>
            </w:pPr>
            <w:r>
              <w:rPr>
                <w:rFonts w:hint="eastAsia" w:ascii="仿宋" w:hAnsi="仿宋" w:eastAsia="仿宋"/>
                <w:sz w:val="24"/>
              </w:rPr>
              <w:t>依照中华人民共和国法律设立并在中华人民共和国境内登记注册的独立法人</w:t>
            </w:r>
          </w:p>
        </w:tc>
        <w:tc>
          <w:tcPr>
            <w:tcW w:w="1866" w:type="dxa"/>
            <w:vAlign w:val="center"/>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64" w:type="dxa"/>
            <w:vAlign w:val="center"/>
          </w:tcPr>
          <w:p>
            <w:pPr>
              <w:widowControl/>
              <w:topLinePunct/>
              <w:spacing w:line="440" w:lineRule="exact"/>
              <w:jc w:val="left"/>
              <w:rPr>
                <w:rFonts w:ascii="仿宋_GB2312" w:eastAsia="仿宋_GB2312"/>
                <w:kern w:val="0"/>
                <w:sz w:val="24"/>
              </w:rPr>
            </w:pPr>
            <w:r>
              <w:rPr>
                <w:rFonts w:hint="eastAsia" w:ascii="仿宋_GB2312" w:hAnsi="仿宋" w:eastAsia="仿宋_GB2312"/>
                <w:bCs/>
                <w:sz w:val="24"/>
              </w:rPr>
              <w:t>投标人具有独立承担民事责任能力（提供道路运输经营许可证、营业执照、法定人身份证）</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64" w:type="dxa"/>
            <w:vAlign w:val="center"/>
          </w:tcPr>
          <w:p>
            <w:pPr>
              <w:widowControl/>
              <w:topLinePunct/>
              <w:spacing w:line="440" w:lineRule="exact"/>
              <w:jc w:val="left"/>
              <w:rPr>
                <w:rFonts w:ascii="仿宋" w:hAnsi="仿宋" w:eastAsia="仿宋"/>
                <w:sz w:val="24"/>
              </w:rPr>
            </w:pPr>
            <w:r>
              <w:rPr>
                <w:rFonts w:hint="eastAsia" w:ascii="仿宋_GB2312" w:hAnsi="仿宋" w:eastAsia="仿宋_GB2312"/>
                <w:bCs/>
                <w:sz w:val="24"/>
              </w:rPr>
              <w:t>注册资本大于等于500万元</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64" w:type="dxa"/>
            <w:vAlign w:val="center"/>
          </w:tcPr>
          <w:p>
            <w:pPr>
              <w:widowControl/>
              <w:topLinePunct/>
              <w:spacing w:line="440" w:lineRule="exact"/>
              <w:jc w:val="left"/>
              <w:rPr>
                <w:rFonts w:ascii="仿宋_GB2312" w:hAnsi="仿宋" w:eastAsia="仿宋_GB2312"/>
                <w:bCs/>
                <w:sz w:val="24"/>
              </w:rPr>
            </w:pPr>
            <w:r>
              <w:rPr>
                <w:rFonts w:hint="eastAsia" w:ascii="仿宋_GB2312" w:hAnsi="仿宋" w:eastAsia="仿宋_GB2312"/>
                <w:bCs/>
                <w:sz w:val="24"/>
              </w:rPr>
              <w:t>能提供2-3辆可出入成都市区的车辆随时调配</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64" w:type="dxa"/>
          </w:tcPr>
          <w:p>
            <w:pPr>
              <w:widowControl/>
              <w:topLinePunct/>
              <w:spacing w:line="440" w:lineRule="exact"/>
              <w:rPr>
                <w:rFonts w:ascii="仿宋" w:hAnsi="仿宋" w:eastAsia="仿宋"/>
                <w:sz w:val="24"/>
              </w:rPr>
            </w:pPr>
            <w:r>
              <w:rPr>
                <w:rFonts w:hint="eastAsia" w:ascii="仿宋" w:hAnsi="仿宋" w:eastAsia="仿宋"/>
                <w:sz w:val="24"/>
              </w:rPr>
              <w:t>投标人近年来的业绩并提供证明资料（附合同扫描件、发票或收款凭证等）。</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64" w:type="dxa"/>
          </w:tcPr>
          <w:p>
            <w:pPr>
              <w:widowControl/>
              <w:topLinePunct/>
              <w:spacing w:line="440" w:lineRule="exact"/>
              <w:rPr>
                <w:rFonts w:ascii="仿宋" w:hAnsi="仿宋" w:eastAsia="仿宋"/>
                <w:sz w:val="24"/>
              </w:rPr>
            </w:pPr>
            <w:r>
              <w:rPr>
                <w:rFonts w:hint="eastAsia" w:ascii="仿宋_GB2312" w:hAnsi="仿宋" w:eastAsia="仿宋_GB2312"/>
                <w:bCs/>
                <w:sz w:val="24"/>
              </w:rPr>
              <w:t>能为本项目配备至少一名客服专员，能及时处理售后问题</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64" w:type="dxa"/>
          </w:tcPr>
          <w:p>
            <w:pPr>
              <w:widowControl/>
              <w:topLinePunct/>
              <w:spacing w:line="440" w:lineRule="exact"/>
              <w:jc w:val="left"/>
              <w:rPr>
                <w:rFonts w:ascii="仿宋_GB2312" w:eastAsia="仿宋_GB2312"/>
                <w:kern w:val="0"/>
                <w:sz w:val="24"/>
              </w:rPr>
            </w:pPr>
            <w:r>
              <w:rPr>
                <w:rFonts w:hint="eastAsia" w:ascii="仿宋_GB2312" w:eastAsia="仿宋_GB2312"/>
                <w:kern w:val="0"/>
                <w:sz w:val="24"/>
              </w:rPr>
              <w:t>投标人具有良好的银行资信和商业信誉，没有处于被责令停业，财产被接管、冻结、破产状态</w:t>
            </w:r>
          </w:p>
        </w:tc>
        <w:tc>
          <w:tcPr>
            <w:tcW w:w="1866" w:type="dxa"/>
          </w:tcPr>
          <w:p>
            <w:pPr>
              <w:widowControl/>
              <w:topLinePunct/>
              <w:spacing w:line="440" w:lineRule="exact"/>
              <w:jc w:val="left"/>
              <w:rPr>
                <w:rFonts w:ascii="仿宋_GB2312" w:eastAsia="仿宋_GB2312"/>
                <w:kern w:val="0"/>
                <w:sz w:val="24"/>
              </w:rPr>
            </w:pPr>
          </w:p>
        </w:tc>
        <w:tc>
          <w:tcPr>
            <w:tcW w:w="1507" w:type="dxa"/>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64" w:type="dxa"/>
            <w:tcBorders>
              <w:bottom w:val="single" w:color="auto" w:sz="4" w:space="0"/>
            </w:tcBorders>
          </w:tcPr>
          <w:p>
            <w:pPr>
              <w:widowControl/>
              <w:topLinePunct/>
              <w:spacing w:line="440" w:lineRule="exact"/>
              <w:jc w:val="left"/>
              <w:rPr>
                <w:rFonts w:ascii="仿宋" w:hAnsi="仿宋" w:eastAsia="仿宋"/>
                <w:kern w:val="0"/>
                <w:sz w:val="24"/>
              </w:rPr>
            </w:pPr>
            <w:r>
              <w:rPr>
                <w:rFonts w:hint="eastAsia" w:ascii="仿宋" w:hAnsi="仿宋" w:eastAsia="仿宋"/>
                <w:kern w:val="0"/>
                <w:sz w:val="24"/>
              </w:rPr>
              <w:t>投标人具有良好社会信誉，近三年无不良履约记录，有完成本项目合同的财务、生产或供货能力</w:t>
            </w:r>
          </w:p>
        </w:tc>
        <w:tc>
          <w:tcPr>
            <w:tcW w:w="1866" w:type="dxa"/>
            <w:tcBorders>
              <w:bottom w:val="single" w:color="auto" w:sz="4" w:space="0"/>
            </w:tcBorders>
          </w:tcPr>
          <w:p>
            <w:pPr>
              <w:widowControl/>
              <w:topLinePunct/>
              <w:spacing w:line="440" w:lineRule="exact"/>
              <w:jc w:val="left"/>
              <w:rPr>
                <w:rFonts w:ascii="仿宋_GB2312" w:eastAsia="仿宋_GB2312"/>
                <w:kern w:val="0"/>
                <w:sz w:val="24"/>
              </w:rPr>
            </w:pPr>
          </w:p>
        </w:tc>
        <w:tc>
          <w:tcPr>
            <w:tcW w:w="1507" w:type="dxa"/>
            <w:tcBorders>
              <w:bottom w:val="single" w:color="auto" w:sz="4" w:space="0"/>
            </w:tcBorders>
          </w:tcPr>
          <w:p>
            <w:pPr>
              <w:widowControl/>
              <w:topLinePunct/>
              <w:spacing w:line="44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64" w:type="dxa"/>
            <w:tcBorders>
              <w:bottom w:val="single" w:color="auto" w:sz="4" w:space="0"/>
            </w:tcBorders>
          </w:tcPr>
          <w:p>
            <w:pPr>
              <w:widowControl/>
              <w:topLinePunct/>
              <w:spacing w:line="440" w:lineRule="exact"/>
              <w:jc w:val="left"/>
              <w:rPr>
                <w:rFonts w:ascii="仿宋" w:hAnsi="仿宋" w:eastAsia="仿宋"/>
                <w:kern w:val="0"/>
                <w:sz w:val="24"/>
              </w:rPr>
            </w:pPr>
            <w:r>
              <w:rPr>
                <w:rFonts w:hint="eastAsia" w:ascii="仿宋" w:hAnsi="仿宋" w:eastAsia="仿宋"/>
                <w:kern w:val="0"/>
                <w:sz w:val="24"/>
              </w:rPr>
              <w:t>投标人不存在《中华人民共和国招标投标法》、《中华人民共和国招标投标法实施条例》禁止投标的情形</w:t>
            </w:r>
          </w:p>
        </w:tc>
        <w:tc>
          <w:tcPr>
            <w:tcW w:w="1866" w:type="dxa"/>
            <w:tcBorders>
              <w:bottom w:val="single" w:color="auto" w:sz="4" w:space="0"/>
            </w:tcBorders>
          </w:tcPr>
          <w:p>
            <w:pPr>
              <w:widowControl/>
              <w:topLinePunct/>
              <w:spacing w:line="440" w:lineRule="exact"/>
              <w:jc w:val="left"/>
              <w:rPr>
                <w:rFonts w:ascii="仿宋_GB2312" w:eastAsia="仿宋_GB2312"/>
                <w:kern w:val="0"/>
                <w:sz w:val="24"/>
              </w:rPr>
            </w:pPr>
          </w:p>
        </w:tc>
        <w:tc>
          <w:tcPr>
            <w:tcW w:w="1507" w:type="dxa"/>
            <w:tcBorders>
              <w:bottom w:val="single" w:color="auto" w:sz="4" w:space="0"/>
            </w:tcBorders>
          </w:tcPr>
          <w:p>
            <w:pPr>
              <w:widowControl/>
              <w:topLinePunct/>
              <w:spacing w:line="440" w:lineRule="exact"/>
              <w:jc w:val="left"/>
              <w:rPr>
                <w:rFonts w:ascii="仿宋_GB2312" w:eastAsia="仿宋_GB2312"/>
                <w:kern w:val="0"/>
                <w:sz w:val="24"/>
              </w:rPr>
            </w:pPr>
          </w:p>
        </w:tc>
      </w:tr>
    </w:tbl>
    <w:p>
      <w:pPr>
        <w:widowControl/>
        <w:jc w:val="left"/>
        <w:rPr>
          <w:rFonts w:ascii="仿宋" w:hAnsi="仿宋" w:eastAsia="仿宋" w:cs="Arial"/>
          <w:kern w:val="0"/>
          <w:sz w:val="24"/>
        </w:rPr>
      </w:pPr>
      <w:r>
        <w:rPr>
          <w:rFonts w:hint="eastAsia" w:ascii="仿宋" w:hAnsi="仿宋" w:eastAsia="仿宋" w:cs="Arial"/>
          <w:kern w:val="0"/>
          <w:sz w:val="24"/>
        </w:rPr>
        <w:t>注</w:t>
      </w:r>
      <w:r>
        <w:rPr>
          <w:rFonts w:ascii="仿宋" w:hAnsi="仿宋" w:eastAsia="仿宋" w:cs="Arial"/>
          <w:kern w:val="0"/>
          <w:sz w:val="24"/>
        </w:rPr>
        <w:t>：</w:t>
      </w:r>
      <w:r>
        <w:rPr>
          <w:rFonts w:hint="eastAsia" w:ascii="仿宋" w:hAnsi="仿宋" w:eastAsia="仿宋" w:cs="Arial"/>
          <w:kern w:val="0"/>
          <w:sz w:val="24"/>
        </w:rPr>
        <w:t>本页装订于封面后第一页</w:t>
      </w:r>
      <w:r>
        <w:rPr>
          <w:rFonts w:ascii="仿宋" w:hAnsi="仿宋" w:eastAsia="仿宋"/>
          <w:kern w:val="0"/>
          <w:sz w:val="24"/>
        </w:rPr>
        <w:t>。</w:t>
      </w:r>
    </w:p>
    <w:p>
      <w:pPr>
        <w:widowControl/>
        <w:spacing w:line="360" w:lineRule="auto"/>
        <w:jc w:val="left"/>
        <w:rPr>
          <w:rFonts w:ascii="仿宋" w:hAnsi="仿宋" w:eastAsia="仿宋"/>
          <w:sz w:val="24"/>
        </w:rPr>
      </w:pPr>
      <w:r>
        <w:rPr>
          <w:rFonts w:ascii="仿宋" w:hAnsi="仿宋" w:eastAsia="仿宋" w:cs="Arial"/>
          <w:b/>
          <w:bCs/>
          <w:kern w:val="0"/>
          <w:sz w:val="24"/>
        </w:rPr>
        <w:br w:type="page"/>
      </w:r>
    </w:p>
    <w:p>
      <w:pPr>
        <w:spacing w:line="480" w:lineRule="auto"/>
        <w:jc w:val="center"/>
        <w:rPr>
          <w:rFonts w:ascii="仿宋_GB2312" w:eastAsia="仿宋_GB2312"/>
          <w:b/>
          <w:sz w:val="32"/>
        </w:rPr>
      </w:pPr>
      <w:r>
        <w:rPr>
          <w:rFonts w:hint="eastAsia" w:ascii="仿宋_GB2312" w:eastAsia="仿宋_GB2312"/>
          <w:b/>
          <w:sz w:val="32"/>
        </w:rPr>
        <w:t>目录</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spacing w:line="54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投标函</w:t>
      </w:r>
    </w:p>
    <w:p>
      <w:pPr>
        <w:spacing w:line="540" w:lineRule="exact"/>
        <w:ind w:firstLine="480" w:firstLineChars="200"/>
        <w:rPr>
          <w:rFonts w:ascii="仿宋_GB2312" w:eastAsia="仿宋_GB2312"/>
          <w:sz w:val="24"/>
        </w:rPr>
      </w:pPr>
      <w:r>
        <w:rPr>
          <w:rFonts w:hint="eastAsia" w:ascii="仿宋_GB2312" w:eastAsia="仿宋_GB2312"/>
          <w:sz w:val="24"/>
        </w:rPr>
        <w:t>2、法定代表人证明书及身份证复印件</w:t>
      </w:r>
    </w:p>
    <w:p>
      <w:pPr>
        <w:spacing w:line="5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、法定代表人授权委托书</w:t>
      </w:r>
      <w:r>
        <w:rPr>
          <w:rFonts w:hint="eastAsia" w:ascii="仿宋_GB2312" w:eastAsia="仿宋_GB2312"/>
          <w:sz w:val="24"/>
        </w:rPr>
        <w:t>（如非法定代表本人投标）及受委托人身份证复印件</w:t>
      </w:r>
    </w:p>
    <w:p>
      <w:pPr>
        <w:spacing w:line="540" w:lineRule="exact"/>
        <w:ind w:firstLine="480" w:firstLineChars="200"/>
        <w:rPr>
          <w:rFonts w:ascii="仿宋_GB2312" w:eastAsia="仿宋_GB2312"/>
          <w:sz w:val="24"/>
        </w:rPr>
      </w:pPr>
      <w:r>
        <w:rPr>
          <w:rFonts w:hint="eastAsia" w:ascii="仿宋_GB2312" w:eastAsia="仿宋_GB2312"/>
          <w:sz w:val="24"/>
        </w:rPr>
        <w:t>4</w:t>
      </w:r>
      <w:r>
        <w:rPr>
          <w:rFonts w:ascii="仿宋_GB2312" w:eastAsia="仿宋_GB2312"/>
          <w:sz w:val="24"/>
        </w:rPr>
        <w:t>、投标人公司简介</w:t>
      </w:r>
      <w:r>
        <w:rPr>
          <w:rFonts w:hint="eastAsia" w:ascii="仿宋_GB2312" w:eastAsia="仿宋_GB2312"/>
          <w:sz w:val="24"/>
        </w:rPr>
        <w:t>（人员、场地、营业额、客户群体等介绍）</w:t>
      </w:r>
    </w:p>
    <w:p>
      <w:pPr>
        <w:spacing w:line="540" w:lineRule="exact"/>
        <w:ind w:firstLine="480" w:firstLineChars="200"/>
        <w:rPr>
          <w:rFonts w:ascii="仿宋_GB2312" w:eastAsia="仿宋_GB2312"/>
          <w:sz w:val="24"/>
        </w:rPr>
      </w:pPr>
      <w:r>
        <w:rPr>
          <w:rFonts w:hint="eastAsia" w:ascii="仿宋_GB2312" w:eastAsia="仿宋_GB2312"/>
          <w:sz w:val="24"/>
        </w:rPr>
        <w:t>5</w:t>
      </w:r>
      <w:r>
        <w:rPr>
          <w:rFonts w:ascii="仿宋_GB2312" w:eastAsia="仿宋_GB2312"/>
          <w:sz w:val="24"/>
        </w:rPr>
        <w:t>、企业基本</w:t>
      </w:r>
      <w:r>
        <w:rPr>
          <w:rFonts w:hint="eastAsia" w:ascii="仿宋_GB2312" w:eastAsia="仿宋_GB2312"/>
          <w:sz w:val="24"/>
        </w:rPr>
        <w:t>证件</w:t>
      </w:r>
      <w:r>
        <w:rPr>
          <w:rFonts w:ascii="仿宋_GB2312" w:eastAsia="仿宋_GB2312"/>
          <w:sz w:val="24"/>
        </w:rPr>
        <w:t>复印件</w:t>
      </w:r>
      <w:r>
        <w:rPr>
          <w:rFonts w:hint="eastAsia" w:ascii="仿宋_GB2312" w:eastAsia="仿宋_GB2312"/>
          <w:sz w:val="24"/>
        </w:rPr>
        <w:t>及道路运输许可证等相关资质证明</w:t>
      </w:r>
    </w:p>
    <w:p>
      <w:pPr>
        <w:spacing w:line="540" w:lineRule="exact"/>
        <w:ind w:firstLine="480" w:firstLineChars="200"/>
        <w:rPr>
          <w:rFonts w:ascii="仿宋_GB2312" w:eastAsia="仿宋_GB2312"/>
          <w:sz w:val="24"/>
        </w:rPr>
      </w:pPr>
      <w:r>
        <w:rPr>
          <w:rFonts w:hint="eastAsia" w:ascii="仿宋_GB2312" w:eastAsia="仿宋_GB2312"/>
          <w:sz w:val="24"/>
        </w:rPr>
        <w:t>6、报价函</w:t>
      </w:r>
    </w:p>
    <w:p>
      <w:pPr>
        <w:spacing w:line="540" w:lineRule="exact"/>
        <w:ind w:firstLine="480" w:firstLineChars="200"/>
        <w:rPr>
          <w:rFonts w:ascii="仿宋_GB2312" w:eastAsia="仿宋_GB2312"/>
          <w:sz w:val="24"/>
        </w:rPr>
      </w:pPr>
      <w:r>
        <w:rPr>
          <w:rFonts w:hint="eastAsia" w:ascii="仿宋_GB2312" w:eastAsia="仿宋_GB2312"/>
          <w:sz w:val="24"/>
        </w:rPr>
        <w:t>7、承诺函</w:t>
      </w:r>
    </w:p>
    <w:p>
      <w:pPr>
        <w:spacing w:line="540" w:lineRule="exact"/>
        <w:ind w:firstLine="480" w:firstLineChars="200"/>
        <w:rPr>
          <w:rFonts w:ascii="仿宋_GB2312" w:eastAsia="仿宋_GB2312"/>
          <w:sz w:val="24"/>
        </w:rPr>
      </w:pPr>
      <w:r>
        <w:rPr>
          <w:rFonts w:hint="eastAsia" w:ascii="仿宋_GB2312" w:eastAsia="仿宋_GB2312"/>
          <w:sz w:val="24"/>
        </w:rPr>
        <w:t>8</w:t>
      </w:r>
      <w:r>
        <w:rPr>
          <w:rFonts w:ascii="仿宋_GB2312" w:eastAsia="仿宋_GB2312"/>
          <w:sz w:val="24"/>
        </w:rPr>
        <w:t>、</w:t>
      </w:r>
      <w:r>
        <w:rPr>
          <w:rFonts w:hint="eastAsia" w:ascii="仿宋_GB2312" w:eastAsia="仿宋_GB2312"/>
          <w:sz w:val="24"/>
        </w:rPr>
        <w:t>投标人认为应补充的其他资料</w:t>
      </w:r>
    </w:p>
    <w:p>
      <w:pPr>
        <w:spacing w:line="540" w:lineRule="exact"/>
        <w:rPr>
          <w:rFonts w:ascii="仿宋_GB2312" w:eastAsia="仿宋_GB2312"/>
          <w:sz w:val="24"/>
        </w:rPr>
      </w:pPr>
    </w:p>
    <w:p>
      <w:pPr>
        <w:pStyle w:val="25"/>
        <w:spacing w:line="460" w:lineRule="exact"/>
        <w:rPr>
          <w:rFonts w:ascii="仿宋" w:hAnsi="仿宋" w:eastAsia="仿宋" w:cs="宋体"/>
          <w:kern w:val="0"/>
          <w:sz w:val="24"/>
          <w:szCs w:val="20"/>
          <w:lang w:bidi="ar"/>
        </w:rPr>
      </w:pPr>
      <w:r>
        <w:br w:type="page"/>
      </w:r>
      <w:bookmarkStart w:id="368" w:name="_Toc151390399"/>
      <w:r>
        <w:rPr>
          <w:rFonts w:ascii="仿宋" w:hAnsi="仿宋" w:eastAsia="仿宋" w:cs="宋体"/>
          <w:kern w:val="0"/>
          <w:sz w:val="24"/>
          <w:szCs w:val="20"/>
          <w:lang w:bidi="ar"/>
        </w:rPr>
        <w:t>（</w:t>
      </w:r>
      <w:r>
        <w:rPr>
          <w:rFonts w:hint="eastAsia" w:ascii="仿宋" w:hAnsi="仿宋" w:eastAsia="仿宋" w:cs="宋体"/>
          <w:kern w:val="0"/>
          <w:sz w:val="24"/>
          <w:szCs w:val="20"/>
          <w:lang w:bidi="ar"/>
        </w:rPr>
        <w:t>一</w:t>
      </w:r>
      <w:r>
        <w:rPr>
          <w:rFonts w:ascii="仿宋" w:hAnsi="仿宋" w:eastAsia="仿宋" w:cs="宋体"/>
          <w:kern w:val="0"/>
          <w:sz w:val="24"/>
          <w:szCs w:val="20"/>
          <w:lang w:bidi="ar"/>
        </w:rPr>
        <w:t>）投标函格式</w:t>
      </w:r>
      <w:bookmarkEnd w:id="368"/>
    </w:p>
    <w:p>
      <w:pPr>
        <w:spacing w:after="240" w:afterLines="100" w:line="460" w:lineRule="exact"/>
        <w:jc w:val="center"/>
        <w:rPr>
          <w:rFonts w:ascii="仿宋" w:hAnsi="仿宋" w:eastAsia="仿宋" w:cs="宋体"/>
          <w:sz w:val="24"/>
          <w:szCs w:val="20"/>
          <w:lang w:bidi="ar"/>
        </w:rPr>
      </w:pPr>
      <w:r>
        <w:rPr>
          <w:rFonts w:ascii="仿宋" w:hAnsi="仿宋" w:eastAsia="仿宋" w:cs="宋体"/>
          <w:sz w:val="24"/>
          <w:szCs w:val="20"/>
          <w:lang w:bidi="ar"/>
        </w:rPr>
        <w:t>投标函</w:t>
      </w:r>
    </w:p>
    <w:p>
      <w:pPr>
        <w:spacing w:line="460" w:lineRule="exact"/>
        <w:ind w:left="-271" w:leftChars="-129" w:right="-325" w:rightChars="-155"/>
        <w:rPr>
          <w:rFonts w:ascii="仿宋" w:hAnsi="仿宋" w:eastAsia="仿宋" w:cs="宋体"/>
          <w:sz w:val="24"/>
          <w:szCs w:val="20"/>
          <w:lang w:bidi="ar"/>
        </w:rPr>
      </w:pPr>
      <w:r>
        <w:rPr>
          <w:rFonts w:ascii="仿宋" w:hAnsi="仿宋" w:eastAsia="仿宋" w:cs="宋体"/>
          <w:sz w:val="24"/>
          <w:szCs w:val="20"/>
          <w:lang w:bidi="ar"/>
        </w:rPr>
        <w:t>致：四川天成明超电缆有限公司</w:t>
      </w:r>
    </w:p>
    <w:p>
      <w:pPr>
        <w:spacing w:line="460" w:lineRule="exact"/>
        <w:ind w:left="-271" w:leftChars="-129" w:right="-325" w:rightChars="-155" w:firstLine="480" w:firstLineChars="200"/>
        <w:rPr>
          <w:rFonts w:ascii="仿宋" w:hAnsi="仿宋" w:eastAsia="仿宋" w:cs="宋体"/>
          <w:color w:val="000000" w:themeColor="text1"/>
          <w:sz w:val="24"/>
          <w:szCs w:val="20"/>
          <w:lang w:bidi="ar"/>
          <w14:textFill>
            <w14:solidFill>
              <w14:schemeClr w14:val="tx1"/>
            </w14:solidFill>
          </w14:textFill>
        </w:rPr>
      </w:pPr>
      <w:r>
        <w:rPr>
          <w:rFonts w:ascii="仿宋" w:hAnsi="仿宋" w:eastAsia="仿宋" w:cs="宋体"/>
          <w:sz w:val="24"/>
          <w:szCs w:val="20"/>
          <w:lang w:bidi="ar"/>
        </w:rPr>
        <w:t>我单位确认收到贵司提供的                （项目名称） 的招标文件的全部内容，我单位：                       (单位名称)作为投标单位正式授权（授权代表姓名</w:t>
      </w:r>
      <w:r>
        <w:rPr>
          <w:rFonts w:hint="eastAsia" w:ascii="仿宋" w:hAnsi="仿宋" w:eastAsia="仿宋" w:cs="宋体"/>
          <w:sz w:val="24"/>
          <w:szCs w:val="20"/>
          <w:lang w:bidi="ar"/>
        </w:rPr>
        <w:t xml:space="preserve">： </w:t>
      </w:r>
      <w:r>
        <w:rPr>
          <w:rFonts w:ascii="仿宋" w:hAnsi="仿宋" w:eastAsia="仿宋" w:cs="宋体"/>
          <w:sz w:val="24"/>
          <w:szCs w:val="20"/>
          <w:lang w:bidi="ar"/>
        </w:rPr>
        <w:t xml:space="preserve">      身份证号码</w:t>
      </w:r>
      <w:r>
        <w:rPr>
          <w:rFonts w:hint="eastAsia" w:ascii="仿宋" w:hAnsi="仿宋" w:eastAsia="仿宋" w:cs="宋体"/>
          <w:sz w:val="24"/>
          <w:szCs w:val="20"/>
          <w:lang w:bidi="ar"/>
        </w:rPr>
        <w:t xml:space="preserve">： </w:t>
      </w:r>
      <w:r>
        <w:rPr>
          <w:rFonts w:ascii="仿宋" w:hAnsi="仿宋" w:eastAsia="仿宋" w:cs="宋体"/>
          <w:sz w:val="24"/>
          <w:szCs w:val="20"/>
          <w:lang w:bidi="ar"/>
        </w:rPr>
        <w:t xml:space="preserve">      职务：</w:t>
      </w:r>
      <w:r>
        <w:rPr>
          <w:rFonts w:hint="eastAsia" w:ascii="仿宋" w:hAnsi="仿宋" w:eastAsia="仿宋" w:cs="宋体"/>
          <w:sz w:val="24"/>
          <w:szCs w:val="20"/>
          <w:lang w:bidi="ar"/>
        </w:rPr>
        <w:t xml:space="preserve"> </w:t>
      </w:r>
      <w:r>
        <w:rPr>
          <w:rFonts w:ascii="仿宋" w:hAnsi="仿宋" w:eastAsia="仿宋" w:cs="宋体"/>
          <w:sz w:val="24"/>
          <w:szCs w:val="20"/>
          <w:lang w:bidi="ar"/>
        </w:rPr>
        <w:t xml:space="preserve">       ）代表我单位进行有关本投标的一切事宜（包括但不限于签署投标文件、进行合同谈判、签订合同以及相关文件并执行一切与此有关的决定）</w:t>
      </w:r>
      <w:r>
        <w:rPr>
          <w:rFonts w:ascii="仿宋" w:hAnsi="仿宋" w:eastAsia="仿宋" w:cs="宋体"/>
          <w:color w:val="000000" w:themeColor="text1"/>
          <w:sz w:val="24"/>
          <w:szCs w:val="20"/>
          <w:lang w:bidi="ar"/>
          <w14:textFill>
            <w14:solidFill>
              <w14:schemeClr w14:val="tx1"/>
            </w14:solidFill>
          </w14:textFill>
        </w:rPr>
        <w:t>。</w:t>
      </w:r>
    </w:p>
    <w:p>
      <w:pPr>
        <w:spacing w:line="460" w:lineRule="exact"/>
        <w:ind w:left="-271" w:leftChars="-129" w:right="-325" w:rightChars="-155" w:firstLine="480" w:firstLineChars="200"/>
        <w:rPr>
          <w:rFonts w:ascii="仿宋" w:hAnsi="仿宋" w:eastAsia="仿宋" w:cs="宋体"/>
          <w:color w:val="000000" w:themeColor="text1"/>
          <w:sz w:val="24"/>
          <w:szCs w:val="20"/>
          <w:lang w:bidi="ar"/>
          <w14:textFill>
            <w14:solidFill>
              <w14:schemeClr w14:val="tx1"/>
            </w14:solidFill>
          </w14:textFill>
        </w:rPr>
      </w:pPr>
      <w:r>
        <w:rPr>
          <w:rFonts w:ascii="仿宋" w:hAnsi="仿宋" w:eastAsia="仿宋" w:cs="宋体"/>
          <w:color w:val="000000" w:themeColor="text1"/>
          <w:sz w:val="24"/>
          <w:szCs w:val="20"/>
          <w:lang w:bidi="ar"/>
          <w14:textFill>
            <w14:solidFill>
              <w14:schemeClr w14:val="tx1"/>
            </w14:solidFill>
          </w14:textFill>
        </w:rPr>
        <w:t>我单位已仔细阅读并完全理解贵司招标文件的所有内容，在此提交的投标书</w:t>
      </w:r>
      <w:r>
        <w:rPr>
          <w:rFonts w:hint="eastAsia" w:ascii="仿宋" w:hAnsi="仿宋" w:eastAsia="仿宋" w:cs="宋体"/>
          <w:color w:val="000000" w:themeColor="text1"/>
          <w:sz w:val="24"/>
          <w:szCs w:val="20"/>
          <w:lang w:bidi="ar"/>
          <w14:textFill>
            <w14:solidFill>
              <w14:schemeClr w14:val="tx1"/>
            </w14:solidFill>
          </w14:textFill>
        </w:rPr>
        <w:t>一</w:t>
      </w:r>
      <w:r>
        <w:rPr>
          <w:rFonts w:ascii="仿宋" w:hAnsi="仿宋" w:eastAsia="仿宋" w:cs="宋体"/>
          <w:color w:val="000000" w:themeColor="text1"/>
          <w:sz w:val="24"/>
          <w:szCs w:val="20"/>
          <w:lang w:bidi="ar"/>
          <w14:textFill>
            <w14:solidFill>
              <w14:schemeClr w14:val="tx1"/>
            </w14:solidFill>
          </w14:textFill>
        </w:rPr>
        <w:t>正两副，并重申以下几点：</w:t>
      </w:r>
    </w:p>
    <w:p>
      <w:pPr>
        <w:spacing w:line="460" w:lineRule="exact"/>
        <w:ind w:left="139" w:leftChars="-129" w:right="-325" w:rightChars="-155" w:hanging="410" w:hangingChars="171"/>
        <w:rPr>
          <w:rFonts w:ascii="仿宋" w:hAnsi="仿宋" w:eastAsia="仿宋" w:cs="宋体"/>
          <w:sz w:val="24"/>
          <w:szCs w:val="20"/>
          <w:lang w:bidi="ar"/>
        </w:rPr>
      </w:pPr>
      <w:r>
        <w:rPr>
          <w:rFonts w:ascii="仿宋" w:hAnsi="仿宋" w:eastAsia="仿宋" w:cs="宋体"/>
          <w:color w:val="000000" w:themeColor="text1"/>
          <w:sz w:val="24"/>
          <w:szCs w:val="20"/>
          <w:lang w:bidi="ar"/>
          <w14:textFill>
            <w14:solidFill>
              <w14:schemeClr w14:val="tx1"/>
            </w14:solidFill>
          </w14:textFill>
        </w:rPr>
        <w:t>1、我单位已详细研究了招标文件及合同的所有内容包括修</w:t>
      </w:r>
      <w:r>
        <w:rPr>
          <w:rFonts w:ascii="仿宋" w:hAnsi="仿宋" w:eastAsia="仿宋" w:cs="宋体"/>
          <w:sz w:val="24"/>
          <w:szCs w:val="20"/>
          <w:lang w:bidi="ar"/>
        </w:rPr>
        <w:t>改文件和所有已提供的参考资料以及有关附件并完全明白，我单位放弃以在此方面提出含糊意见或误解作为抗辩理由的一切权利。</w:t>
      </w:r>
    </w:p>
    <w:p>
      <w:pPr>
        <w:pStyle w:val="226"/>
        <w:spacing w:line="460" w:lineRule="exact"/>
        <w:ind w:left="89" w:leftChars="-129" w:right="-325" w:rightChars="-155" w:hanging="360" w:hangingChars="150"/>
        <w:rPr>
          <w:rFonts w:ascii="仿宋" w:hAnsi="仿宋" w:eastAsia="仿宋" w:cs="宋体"/>
          <w:sz w:val="24"/>
          <w:lang w:bidi="ar"/>
        </w:rPr>
      </w:pPr>
      <w:r>
        <w:rPr>
          <w:rFonts w:ascii="仿宋" w:hAnsi="仿宋" w:eastAsia="仿宋" w:cs="宋体"/>
          <w:sz w:val="24"/>
          <w:lang w:bidi="ar"/>
        </w:rPr>
        <w:t>2、我单位同意按照贵司提出的要求，提供与投标有关的任何其它数据或信息。</w:t>
      </w:r>
    </w:p>
    <w:p>
      <w:pPr>
        <w:spacing w:line="460" w:lineRule="exact"/>
        <w:ind w:left="317" w:leftChars="-129" w:right="-325" w:rightChars="-155" w:hanging="588"/>
        <w:rPr>
          <w:rFonts w:ascii="仿宋" w:hAnsi="仿宋" w:eastAsia="仿宋" w:cs="宋体"/>
          <w:sz w:val="24"/>
          <w:szCs w:val="20"/>
          <w:lang w:bidi="ar"/>
        </w:rPr>
      </w:pPr>
      <w:r>
        <w:rPr>
          <w:rFonts w:ascii="仿宋" w:hAnsi="仿宋" w:eastAsia="仿宋" w:cs="宋体"/>
          <w:sz w:val="24"/>
          <w:szCs w:val="20"/>
          <w:lang w:bidi="ar"/>
        </w:rPr>
        <w:t>3、我单位理解并接受贵司</w:t>
      </w:r>
      <w:r>
        <w:rPr>
          <w:rFonts w:hint="eastAsia" w:ascii="仿宋" w:hAnsi="仿宋" w:eastAsia="仿宋" w:cs="宋体"/>
          <w:sz w:val="24"/>
          <w:szCs w:val="20"/>
          <w:lang w:bidi="ar"/>
        </w:rPr>
        <w:t>评标规则以及对相关信息保密</w:t>
      </w:r>
      <w:r>
        <w:rPr>
          <w:rFonts w:ascii="仿宋" w:hAnsi="仿宋" w:eastAsia="仿宋" w:cs="宋体"/>
          <w:sz w:val="24"/>
          <w:szCs w:val="20"/>
          <w:lang w:bidi="ar"/>
        </w:rPr>
        <w:t>。</w:t>
      </w:r>
    </w:p>
    <w:p>
      <w:pPr>
        <w:spacing w:line="460" w:lineRule="exact"/>
        <w:ind w:left="12" w:leftChars="-129" w:right="-325" w:rightChars="-155" w:hanging="283" w:hangingChars="118"/>
        <w:rPr>
          <w:rFonts w:ascii="仿宋" w:hAnsi="仿宋" w:eastAsia="仿宋" w:cs="宋体"/>
          <w:sz w:val="24"/>
          <w:szCs w:val="20"/>
          <w:lang w:bidi="ar"/>
        </w:rPr>
      </w:pPr>
      <w:r>
        <w:rPr>
          <w:rFonts w:ascii="仿宋" w:hAnsi="仿宋" w:eastAsia="仿宋" w:cs="宋体"/>
          <w:sz w:val="24"/>
          <w:szCs w:val="20"/>
          <w:lang w:bidi="ar"/>
        </w:rPr>
        <w:t>4、我单位如果中标，将保证严格按照招标文件、招标文件的修改文件（如有）中的要求，与贵司签订合同和相关文件</w:t>
      </w:r>
      <w:r>
        <w:rPr>
          <w:rFonts w:hint="eastAsia" w:ascii="仿宋" w:hAnsi="仿宋" w:eastAsia="仿宋" w:cs="宋体"/>
          <w:sz w:val="24"/>
          <w:szCs w:val="20"/>
          <w:lang w:bidi="ar"/>
        </w:rPr>
        <w:t>。</w:t>
      </w:r>
    </w:p>
    <w:p>
      <w:pPr>
        <w:spacing w:line="460" w:lineRule="exact"/>
        <w:ind w:left="-271" w:leftChars="-129" w:right="-325" w:rightChars="-155"/>
        <w:rPr>
          <w:rFonts w:ascii="仿宋" w:hAnsi="仿宋" w:eastAsia="仿宋" w:cs="宋体"/>
          <w:sz w:val="24"/>
          <w:szCs w:val="20"/>
          <w:lang w:bidi="ar"/>
        </w:rPr>
      </w:pPr>
      <w:r>
        <w:rPr>
          <w:rFonts w:ascii="仿宋" w:hAnsi="仿宋" w:eastAsia="仿宋" w:cs="宋体"/>
          <w:sz w:val="24"/>
          <w:szCs w:val="20"/>
          <w:lang w:bidi="ar"/>
        </w:rPr>
        <w:t xml:space="preserve">    我方在此承诺，所递交的投标文件及有关资料内容完整、真实和准确，且不存在法律法规限制投标的任何情形</w:t>
      </w:r>
      <w:r>
        <w:rPr>
          <w:rFonts w:hint="eastAsia" w:ascii="仿宋" w:hAnsi="仿宋" w:eastAsia="仿宋" w:cs="宋体"/>
          <w:sz w:val="24"/>
          <w:szCs w:val="20"/>
          <w:lang w:bidi="ar"/>
        </w:rPr>
        <w:t>，承诺公平竞标，不围标，不结盟，不串标，不贿赂。</w:t>
      </w:r>
    </w:p>
    <w:p>
      <w:pPr>
        <w:spacing w:line="460" w:lineRule="exact"/>
        <w:ind w:firstLine="4200" w:firstLineChars="1750"/>
        <w:rPr>
          <w:rFonts w:ascii="仿宋" w:hAnsi="仿宋" w:eastAsia="仿宋" w:cs="宋体"/>
          <w:sz w:val="24"/>
          <w:szCs w:val="20"/>
          <w:lang w:bidi="ar"/>
        </w:rPr>
      </w:pPr>
    </w:p>
    <w:p>
      <w:pPr>
        <w:spacing w:before="120" w:beforeLines="50" w:after="120" w:afterLines="50"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投标单位（公章）：</w:t>
      </w:r>
    </w:p>
    <w:p>
      <w:pPr>
        <w:spacing w:before="120" w:beforeLines="50" w:after="120" w:afterLines="50"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授权代表姓名（签名）：</w:t>
      </w:r>
    </w:p>
    <w:p>
      <w:pPr>
        <w:spacing w:before="120" w:beforeLines="50" w:after="120" w:afterLines="50"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日    期：</w:t>
      </w:r>
    </w:p>
    <w:p>
      <w:pPr>
        <w:rPr>
          <w:rFonts w:ascii="仿宋" w:hAnsi="仿宋" w:eastAsia="仿宋" w:cs="宋体"/>
          <w:kern w:val="0"/>
          <w:sz w:val="24"/>
          <w:szCs w:val="20"/>
          <w:lang w:bidi="ar"/>
        </w:rPr>
      </w:pPr>
      <w:bookmarkStart w:id="369" w:name="_Toc436929411"/>
      <w:r>
        <w:rPr>
          <w:rFonts w:ascii="仿宋" w:hAnsi="仿宋" w:eastAsia="仿宋" w:cs="宋体"/>
          <w:kern w:val="0"/>
          <w:sz w:val="24"/>
          <w:szCs w:val="20"/>
          <w:lang w:bidi="ar"/>
        </w:rPr>
        <w:br w:type="page"/>
      </w:r>
    </w:p>
    <w:p>
      <w:pPr>
        <w:pStyle w:val="25"/>
        <w:spacing w:line="460" w:lineRule="exact"/>
        <w:rPr>
          <w:rFonts w:ascii="仿宋" w:hAnsi="仿宋" w:eastAsia="仿宋" w:cs="宋体"/>
          <w:kern w:val="0"/>
          <w:sz w:val="24"/>
          <w:szCs w:val="20"/>
          <w:lang w:bidi="ar"/>
        </w:rPr>
      </w:pPr>
      <w:bookmarkStart w:id="370" w:name="_Toc151390400"/>
      <w:r>
        <w:rPr>
          <w:rFonts w:ascii="仿宋" w:hAnsi="仿宋" w:eastAsia="仿宋" w:cs="宋体"/>
          <w:kern w:val="0"/>
          <w:sz w:val="24"/>
          <w:szCs w:val="20"/>
          <w:lang w:bidi="ar"/>
        </w:rPr>
        <w:t>（</w:t>
      </w:r>
      <w:r>
        <w:rPr>
          <w:rFonts w:hint="eastAsia" w:ascii="仿宋" w:hAnsi="仿宋" w:eastAsia="仿宋" w:cs="宋体"/>
          <w:kern w:val="0"/>
          <w:sz w:val="24"/>
          <w:szCs w:val="20"/>
          <w:lang w:bidi="ar"/>
        </w:rPr>
        <w:t>二</w:t>
      </w:r>
      <w:r>
        <w:rPr>
          <w:rFonts w:ascii="仿宋" w:hAnsi="仿宋" w:eastAsia="仿宋" w:cs="宋体"/>
          <w:kern w:val="0"/>
          <w:sz w:val="24"/>
          <w:szCs w:val="20"/>
          <w:lang w:bidi="ar"/>
        </w:rPr>
        <w:t>）法定代表人证明书格式</w:t>
      </w:r>
      <w:bookmarkEnd w:id="369"/>
      <w:bookmarkEnd w:id="370"/>
      <w:r>
        <w:rPr>
          <w:rFonts w:ascii="仿宋" w:hAnsi="仿宋" w:eastAsia="仿宋" w:cs="宋体"/>
          <w:kern w:val="0"/>
          <w:sz w:val="24"/>
          <w:szCs w:val="20"/>
          <w:lang w:bidi="ar"/>
        </w:rPr>
        <w:t xml:space="preserve">           </w:t>
      </w:r>
    </w:p>
    <w:p>
      <w:pPr>
        <w:tabs>
          <w:tab w:val="left" w:pos="720"/>
        </w:tabs>
        <w:spacing w:before="120" w:beforeLines="50" w:after="240" w:afterLines="100" w:line="460" w:lineRule="exact"/>
        <w:jc w:val="center"/>
        <w:rPr>
          <w:rFonts w:ascii="仿宋" w:hAnsi="仿宋" w:eastAsia="仿宋" w:cs="宋体"/>
          <w:sz w:val="24"/>
          <w:szCs w:val="20"/>
          <w:lang w:bidi="ar"/>
        </w:rPr>
      </w:pPr>
      <w:r>
        <w:rPr>
          <w:rFonts w:ascii="仿宋" w:hAnsi="仿宋" w:eastAsia="仿宋" w:cs="宋体"/>
          <w:sz w:val="24"/>
          <w:szCs w:val="20"/>
          <w:lang w:bidi="ar"/>
        </w:rPr>
        <w:t>法定代表人证明书</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投 标 人：                                         </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单位性质：                                         </w:t>
      </w:r>
    </w:p>
    <w:p>
      <w:pPr>
        <w:spacing w:line="360" w:lineRule="auto"/>
        <w:rPr>
          <w:rFonts w:ascii="仿宋" w:hAnsi="仿宋" w:eastAsia="仿宋" w:cs="宋体"/>
          <w:sz w:val="24"/>
          <w:szCs w:val="20"/>
          <w:lang w:bidi="ar"/>
        </w:rPr>
      </w:pPr>
      <w:r>
        <w:rPr>
          <w:rFonts w:hint="eastAsia" w:ascii="仿宋" w:hAnsi="仿宋" w:eastAsia="仿宋" w:cs="宋体"/>
          <w:sz w:val="24"/>
          <w:szCs w:val="20"/>
          <w:lang w:bidi="ar"/>
        </w:rPr>
        <w:t xml:space="preserve">地    址： </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成立时间： </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年  </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  月</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 日</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经营期限：</w:t>
      </w:r>
      <w:r>
        <w:rPr>
          <w:rFonts w:ascii="仿宋" w:hAnsi="仿宋" w:eastAsia="仿宋" w:cs="宋体"/>
          <w:sz w:val="24"/>
          <w:szCs w:val="20"/>
          <w:lang w:bidi="ar"/>
        </w:rPr>
        <w:t xml:space="preserve">    </w:t>
      </w:r>
      <w:r>
        <w:rPr>
          <w:rFonts w:hint="eastAsia" w:ascii="仿宋" w:hAnsi="仿宋" w:eastAsia="仿宋" w:cs="宋体"/>
          <w:sz w:val="24"/>
          <w:szCs w:val="20"/>
          <w:lang w:bidi="ar"/>
        </w:rPr>
        <w:t>年</w:t>
      </w:r>
      <w:r>
        <w:rPr>
          <w:rFonts w:ascii="仿宋" w:hAnsi="仿宋" w:eastAsia="仿宋" w:cs="宋体"/>
          <w:sz w:val="24"/>
          <w:szCs w:val="20"/>
          <w:lang w:bidi="ar"/>
        </w:rPr>
        <w:t xml:space="preserve">    </w:t>
      </w:r>
      <w:r>
        <w:rPr>
          <w:rFonts w:hint="eastAsia" w:ascii="仿宋" w:hAnsi="仿宋" w:eastAsia="仿宋" w:cs="宋体"/>
          <w:sz w:val="24"/>
          <w:szCs w:val="20"/>
          <w:lang w:bidi="ar"/>
        </w:rPr>
        <w:t>月</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日至 </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 </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姓    名：            性别：           </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年    龄： </w:t>
      </w:r>
      <w:r>
        <w:rPr>
          <w:rFonts w:ascii="仿宋" w:hAnsi="仿宋" w:eastAsia="仿宋" w:cs="宋体"/>
          <w:sz w:val="24"/>
          <w:szCs w:val="20"/>
          <w:lang w:bidi="ar"/>
        </w:rPr>
        <w:t xml:space="preserve"> </w:t>
      </w:r>
      <w:r>
        <w:rPr>
          <w:rFonts w:hint="eastAsia" w:ascii="仿宋" w:hAnsi="仿宋" w:eastAsia="仿宋" w:cs="宋体"/>
          <w:sz w:val="24"/>
          <w:szCs w:val="20"/>
          <w:lang w:bidi="ar"/>
        </w:rPr>
        <w:t xml:space="preserve">          职务：       </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 xml:space="preserve">系 </w:t>
      </w:r>
      <w:r>
        <w:rPr>
          <w:rFonts w:ascii="仿宋" w:hAnsi="仿宋" w:eastAsia="仿宋" w:cs="宋体"/>
          <w:sz w:val="24"/>
          <w:szCs w:val="20"/>
          <w:u w:val="single"/>
          <w:lang w:bidi="ar"/>
        </w:rPr>
        <w:t xml:space="preserve">                         </w:t>
      </w:r>
      <w:r>
        <w:rPr>
          <w:rFonts w:hint="eastAsia" w:ascii="仿宋" w:hAnsi="仿宋" w:eastAsia="仿宋" w:cs="宋体"/>
          <w:sz w:val="24"/>
          <w:szCs w:val="20"/>
          <w:lang w:bidi="ar"/>
        </w:rPr>
        <w:t>（投标人名称）的法定代表人。</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特此证明。</w:t>
      </w:r>
    </w:p>
    <w:p>
      <w:pPr>
        <w:spacing w:line="500" w:lineRule="exact"/>
        <w:rPr>
          <w:rFonts w:ascii="仿宋" w:hAnsi="仿宋" w:eastAsia="仿宋" w:cs="宋体"/>
          <w:sz w:val="24"/>
          <w:szCs w:val="20"/>
          <w:lang w:bidi="ar"/>
        </w:rPr>
      </w:pPr>
      <w:r>
        <w:rPr>
          <w:rFonts w:hint="eastAsia" w:ascii="仿宋" w:hAnsi="仿宋" w:eastAsia="仿宋" w:cs="宋体"/>
          <w:sz w:val="24"/>
          <w:szCs w:val="20"/>
          <w:lang w:bidi="ar"/>
        </w:rPr>
        <w:t>附：法定代表人身份证复印件、营业执照扫描件：</w:t>
      </w:r>
    </w:p>
    <w:p>
      <w:pPr>
        <w:spacing w:line="460" w:lineRule="exact"/>
        <w:ind w:left="-61" w:leftChars="-29" w:right="-325" w:rightChars="-155" w:firstLine="240" w:firstLineChars="100"/>
        <w:rPr>
          <w:rFonts w:ascii="仿宋" w:hAnsi="仿宋" w:eastAsia="仿宋" w:cs="宋体"/>
          <w:sz w:val="24"/>
          <w:szCs w:val="20"/>
          <w:lang w:bidi="ar"/>
        </w:rPr>
      </w:pPr>
      <w:r>
        <w:rPr>
          <w:rFonts w:ascii="仿宋" w:hAnsi="仿宋" w:eastAsia="仿宋" w:cs="宋体"/>
          <w:sz w:val="24"/>
          <w:szCs w:val="20"/>
          <w:lang w:bidi="ar"/>
        </w:rPr>
        <w:t xml:space="preserve">                     </w:t>
      </w:r>
    </w:p>
    <w:p>
      <w:pPr>
        <w:spacing w:line="460" w:lineRule="exact"/>
        <w:ind w:left="12" w:leftChars="-129" w:right="-325" w:rightChars="-155" w:hanging="283" w:hangingChars="118"/>
        <w:rPr>
          <w:rFonts w:ascii="仿宋" w:hAnsi="仿宋" w:eastAsia="仿宋" w:cs="宋体"/>
          <w:sz w:val="24"/>
          <w:szCs w:val="20"/>
          <w:lang w:bidi="ar"/>
        </w:rPr>
      </w:pPr>
    </w:p>
    <w:p>
      <w:pPr>
        <w:spacing w:line="460" w:lineRule="exact"/>
        <w:ind w:left="12" w:leftChars="-129" w:right="-325" w:rightChars="-155" w:hanging="283" w:hangingChars="118"/>
        <w:rPr>
          <w:rFonts w:ascii="仿宋" w:hAnsi="仿宋" w:eastAsia="仿宋" w:cs="宋体"/>
          <w:sz w:val="24"/>
          <w:szCs w:val="20"/>
          <w:lang w:bidi="ar"/>
        </w:rPr>
      </w:pPr>
    </w:p>
    <w:p>
      <w:pPr>
        <w:spacing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投标单位（公章）：</w:t>
      </w:r>
    </w:p>
    <w:p>
      <w:pPr>
        <w:spacing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授权代表姓名（签名）：</w:t>
      </w:r>
    </w:p>
    <w:p>
      <w:pPr>
        <w:spacing w:line="460" w:lineRule="exact"/>
        <w:ind w:firstLine="4200" w:firstLineChars="1750"/>
        <w:rPr>
          <w:rFonts w:ascii="仿宋" w:hAnsi="仿宋" w:eastAsia="仿宋" w:cs="宋体"/>
          <w:sz w:val="24"/>
          <w:szCs w:val="20"/>
          <w:lang w:bidi="ar"/>
        </w:rPr>
      </w:pPr>
      <w:r>
        <w:rPr>
          <w:rFonts w:ascii="仿宋" w:hAnsi="仿宋" w:eastAsia="仿宋" w:cs="宋体"/>
          <w:sz w:val="24"/>
          <w:szCs w:val="20"/>
          <w:lang w:bidi="ar"/>
        </w:rPr>
        <w:t>日    期：</w:t>
      </w:r>
    </w:p>
    <w:p>
      <w:pPr>
        <w:spacing w:line="460" w:lineRule="exact"/>
        <w:ind w:left="12" w:leftChars="-129" w:right="-325" w:rightChars="-155" w:hanging="283" w:hangingChars="118"/>
        <w:rPr>
          <w:rFonts w:ascii="仿宋" w:hAnsi="仿宋" w:eastAsia="仿宋" w:cs="宋体"/>
          <w:sz w:val="24"/>
          <w:szCs w:val="20"/>
          <w:lang w:bidi="ar"/>
        </w:rPr>
      </w:pPr>
    </w:p>
    <w:p>
      <w:pPr>
        <w:spacing w:line="460" w:lineRule="exact"/>
        <w:ind w:left="12" w:leftChars="-129" w:right="-325" w:rightChars="-155" w:hanging="283" w:hangingChars="118"/>
        <w:rPr>
          <w:rFonts w:ascii="仿宋" w:hAnsi="仿宋" w:eastAsia="仿宋" w:cs="宋体"/>
          <w:sz w:val="24"/>
          <w:szCs w:val="20"/>
          <w:lang w:bidi="ar"/>
        </w:rPr>
      </w:pPr>
    </w:p>
    <w:p>
      <w:pPr>
        <w:rPr>
          <w:rFonts w:ascii="仿宋" w:hAnsi="仿宋" w:eastAsia="仿宋" w:cs="宋体"/>
          <w:kern w:val="0"/>
          <w:sz w:val="24"/>
          <w:szCs w:val="20"/>
          <w:lang w:bidi="ar"/>
        </w:rPr>
      </w:pPr>
      <w:bookmarkStart w:id="371" w:name="_Toc436929412"/>
      <w:bookmarkStart w:id="372" w:name="OLE_LINK5"/>
      <w:r>
        <w:rPr>
          <w:rFonts w:ascii="仿宋" w:hAnsi="仿宋" w:eastAsia="仿宋" w:cs="宋体"/>
          <w:kern w:val="0"/>
          <w:sz w:val="24"/>
          <w:szCs w:val="20"/>
          <w:lang w:bidi="ar"/>
        </w:rPr>
        <w:br w:type="page"/>
      </w:r>
    </w:p>
    <w:p>
      <w:pPr>
        <w:pStyle w:val="25"/>
        <w:spacing w:line="460" w:lineRule="exact"/>
        <w:rPr>
          <w:rFonts w:ascii="仿宋" w:hAnsi="仿宋" w:eastAsia="仿宋" w:cs="宋体"/>
          <w:kern w:val="0"/>
          <w:sz w:val="24"/>
          <w:szCs w:val="20"/>
          <w:lang w:bidi="ar"/>
        </w:rPr>
      </w:pPr>
      <w:bookmarkStart w:id="373" w:name="_Toc151390401"/>
      <w:r>
        <w:rPr>
          <w:rFonts w:ascii="仿宋" w:hAnsi="仿宋" w:eastAsia="仿宋" w:cs="宋体"/>
          <w:kern w:val="0"/>
          <w:sz w:val="24"/>
          <w:szCs w:val="20"/>
          <w:lang w:bidi="ar"/>
        </w:rPr>
        <w:t>（</w:t>
      </w:r>
      <w:r>
        <w:rPr>
          <w:rFonts w:hint="eastAsia" w:ascii="仿宋" w:hAnsi="仿宋" w:eastAsia="仿宋" w:cs="宋体"/>
          <w:kern w:val="0"/>
          <w:sz w:val="24"/>
          <w:szCs w:val="20"/>
          <w:lang w:bidi="ar"/>
        </w:rPr>
        <w:t>三</w:t>
      </w:r>
      <w:r>
        <w:rPr>
          <w:rFonts w:ascii="仿宋" w:hAnsi="仿宋" w:eastAsia="仿宋" w:cs="宋体"/>
          <w:kern w:val="0"/>
          <w:sz w:val="24"/>
          <w:szCs w:val="20"/>
          <w:lang w:bidi="ar"/>
        </w:rPr>
        <w:t>）法定代表人授权书格式</w:t>
      </w:r>
      <w:bookmarkEnd w:id="371"/>
      <w:bookmarkEnd w:id="373"/>
    </w:p>
    <w:p>
      <w:pPr>
        <w:spacing w:line="460" w:lineRule="exact"/>
        <w:rPr>
          <w:rFonts w:ascii="仿宋" w:hAnsi="仿宋" w:eastAsia="仿宋" w:cs="宋体"/>
          <w:sz w:val="24"/>
          <w:szCs w:val="20"/>
          <w:lang w:bidi="ar"/>
        </w:rPr>
      </w:pPr>
    </w:p>
    <w:p>
      <w:pPr>
        <w:spacing w:line="460" w:lineRule="exact"/>
        <w:jc w:val="center"/>
        <w:rPr>
          <w:rFonts w:ascii="仿宋" w:hAnsi="仿宋" w:eastAsia="仿宋" w:cs="宋体"/>
          <w:sz w:val="24"/>
          <w:szCs w:val="20"/>
          <w:lang w:bidi="ar"/>
        </w:rPr>
      </w:pPr>
      <w:r>
        <w:rPr>
          <w:rFonts w:ascii="仿宋" w:hAnsi="仿宋" w:eastAsia="仿宋" w:cs="宋体"/>
          <w:sz w:val="24"/>
          <w:szCs w:val="20"/>
          <w:lang w:bidi="ar"/>
        </w:rPr>
        <w:t>法定代表人授权书</w:t>
      </w:r>
    </w:p>
    <w:p>
      <w:pPr>
        <w:spacing w:line="460" w:lineRule="exact"/>
        <w:jc w:val="center"/>
        <w:rPr>
          <w:rFonts w:ascii="仿宋" w:hAnsi="仿宋" w:eastAsia="仿宋" w:cs="宋体"/>
          <w:sz w:val="24"/>
          <w:szCs w:val="20"/>
          <w:lang w:bidi="ar"/>
        </w:rPr>
      </w:pPr>
    </w:p>
    <w:p>
      <w:pPr>
        <w:autoSpaceDE w:val="0"/>
        <w:autoSpaceDN w:val="0"/>
        <w:spacing w:line="460" w:lineRule="exact"/>
        <w:rPr>
          <w:rFonts w:ascii="仿宋" w:hAnsi="仿宋" w:eastAsia="仿宋" w:cs="宋体"/>
          <w:sz w:val="24"/>
          <w:szCs w:val="20"/>
          <w:lang w:bidi="ar"/>
        </w:rPr>
      </w:pPr>
      <w:r>
        <w:rPr>
          <w:rFonts w:ascii="仿宋" w:hAnsi="仿宋" w:eastAsia="仿宋" w:cs="宋体"/>
          <w:sz w:val="24"/>
          <w:szCs w:val="20"/>
          <w:lang w:bidi="ar"/>
        </w:rPr>
        <w:t>致：四川天成明超电缆有限公司</w:t>
      </w:r>
    </w:p>
    <w:p>
      <w:pPr>
        <w:pStyle w:val="66"/>
        <w:spacing w:before="120" w:beforeLines="50" w:line="460" w:lineRule="exact"/>
        <w:jc w:val="left"/>
        <w:rPr>
          <w:rFonts w:ascii="仿宋" w:hAnsi="仿宋" w:eastAsia="仿宋" w:cs="宋体"/>
          <w:kern w:val="0"/>
          <w:szCs w:val="20"/>
          <w:lang w:bidi="ar"/>
        </w:rPr>
      </w:pPr>
      <w:r>
        <w:rPr>
          <w:rFonts w:ascii="仿宋" w:hAnsi="仿宋" w:eastAsia="仿宋" w:cs="宋体"/>
          <w:kern w:val="0"/>
          <w:szCs w:val="20"/>
          <w:u w:val="single"/>
          <w:lang w:bidi="ar"/>
        </w:rPr>
        <w:t>（投标人名称）</w:t>
      </w:r>
      <w:r>
        <w:rPr>
          <w:rFonts w:ascii="仿宋" w:hAnsi="仿宋" w:eastAsia="仿宋" w:cs="宋体"/>
          <w:kern w:val="0"/>
          <w:szCs w:val="20"/>
          <w:lang w:bidi="ar"/>
        </w:rPr>
        <w:t>，中华人民共和国合法企业，法定地址：</w:t>
      </w:r>
      <w:r>
        <w:rPr>
          <w:rFonts w:ascii="仿宋" w:hAnsi="仿宋" w:eastAsia="仿宋" w:cs="宋体"/>
          <w:kern w:val="0"/>
          <w:szCs w:val="20"/>
          <w:u w:val="single"/>
          <w:lang w:bidi="ar"/>
        </w:rPr>
        <w:t xml:space="preserve">             </w:t>
      </w:r>
      <w:r>
        <w:rPr>
          <w:rFonts w:ascii="仿宋" w:hAnsi="仿宋" w:eastAsia="仿宋" w:cs="宋体"/>
          <w:kern w:val="0"/>
          <w:szCs w:val="20"/>
          <w:lang w:bidi="ar"/>
        </w:rPr>
        <w:t>。</w:t>
      </w:r>
    </w:p>
    <w:p>
      <w:pPr>
        <w:spacing w:before="120" w:beforeLines="50" w:line="460" w:lineRule="exact"/>
        <w:rPr>
          <w:rFonts w:ascii="仿宋" w:hAnsi="仿宋" w:eastAsia="仿宋" w:cs="宋体"/>
          <w:sz w:val="24"/>
          <w:szCs w:val="20"/>
          <w:lang w:bidi="ar"/>
        </w:rPr>
      </w:pPr>
      <w:r>
        <w:rPr>
          <w:rFonts w:ascii="仿宋" w:hAnsi="仿宋" w:eastAsia="仿宋" w:cs="宋体"/>
          <w:sz w:val="24"/>
          <w:szCs w:val="20"/>
          <w:u w:val="single"/>
          <w:lang w:bidi="ar"/>
        </w:rPr>
        <w:t>（营业执照法定代表人）</w:t>
      </w:r>
      <w:r>
        <w:rPr>
          <w:rFonts w:ascii="仿宋" w:hAnsi="仿宋" w:eastAsia="仿宋" w:cs="宋体"/>
          <w:sz w:val="24"/>
          <w:szCs w:val="20"/>
          <w:lang w:bidi="ar"/>
        </w:rPr>
        <w:t>特授权</w:t>
      </w:r>
      <w:r>
        <w:rPr>
          <w:rFonts w:ascii="仿宋" w:hAnsi="仿宋" w:eastAsia="仿宋" w:cs="宋体"/>
          <w:sz w:val="24"/>
          <w:szCs w:val="20"/>
          <w:u w:val="single"/>
          <w:lang w:bidi="ar"/>
        </w:rPr>
        <w:t xml:space="preserve">       </w:t>
      </w:r>
      <w:r>
        <w:rPr>
          <w:rFonts w:ascii="仿宋" w:hAnsi="仿宋" w:eastAsia="仿宋" w:cs="宋体"/>
          <w:sz w:val="24"/>
          <w:szCs w:val="20"/>
          <w:lang w:bidi="ar"/>
        </w:rPr>
        <w:t>代表我公司全权办理</w:t>
      </w:r>
      <w:r>
        <w:rPr>
          <w:rFonts w:ascii="仿宋" w:hAnsi="仿宋" w:eastAsia="仿宋" w:cs="宋体"/>
          <w:sz w:val="24"/>
          <w:szCs w:val="20"/>
          <w:u w:val="single"/>
          <w:lang w:bidi="ar"/>
        </w:rPr>
        <w:t xml:space="preserve">         （项目名称）</w:t>
      </w:r>
      <w:r>
        <w:rPr>
          <w:rFonts w:ascii="仿宋" w:hAnsi="仿宋" w:eastAsia="仿宋" w:cs="宋体"/>
          <w:sz w:val="24"/>
          <w:szCs w:val="20"/>
          <w:lang w:bidi="ar"/>
        </w:rPr>
        <w:t>的投标、谈判、签约、执行等具体工作，并签署全部有关的文件、协议及合同。有效期：                                        。</w:t>
      </w:r>
    </w:p>
    <w:p>
      <w:pPr>
        <w:spacing w:before="120" w:beforeLines="50" w:line="460" w:lineRule="exact"/>
        <w:ind w:firstLine="480" w:firstLineChars="200"/>
        <w:rPr>
          <w:rFonts w:ascii="仿宋" w:hAnsi="仿宋" w:eastAsia="仿宋" w:cs="宋体"/>
          <w:sz w:val="24"/>
          <w:szCs w:val="20"/>
          <w:lang w:bidi="ar"/>
        </w:rPr>
      </w:pPr>
      <w:r>
        <w:rPr>
          <w:rFonts w:ascii="仿宋" w:hAnsi="仿宋" w:eastAsia="仿宋" w:cs="宋体"/>
          <w:sz w:val="24"/>
          <w:szCs w:val="20"/>
          <w:lang w:bidi="ar"/>
        </w:rPr>
        <w:t>我公司对被授权人签署的所有文件、协议及合同负全部责任。</w:t>
      </w:r>
    </w:p>
    <w:p>
      <w:pPr>
        <w:spacing w:before="120" w:beforeLines="50" w:line="460" w:lineRule="exact"/>
        <w:ind w:firstLine="480" w:firstLineChars="200"/>
        <w:rPr>
          <w:rFonts w:ascii="仿宋" w:hAnsi="仿宋" w:eastAsia="仿宋" w:cs="宋体"/>
          <w:sz w:val="24"/>
          <w:szCs w:val="20"/>
          <w:lang w:bidi="ar"/>
        </w:rPr>
      </w:pPr>
      <w:r>
        <w:rPr>
          <w:rFonts w:ascii="仿宋" w:hAnsi="仿宋" w:eastAsia="仿宋" w:cs="宋体"/>
          <w:sz w:val="24"/>
          <w:szCs w:val="20"/>
          <w:lang w:bidi="ar"/>
        </w:rPr>
        <w:t>在招标人或招标服务单位收到撤销本授权的通知以前，本授权书一直有效。被授权人签署的所有文件、协议和合同（在本授权书有效期内签署的）不因授权的撤销而失效。</w:t>
      </w:r>
    </w:p>
    <w:p>
      <w:pPr>
        <w:spacing w:before="120" w:beforeLines="50" w:line="460" w:lineRule="exact"/>
        <w:ind w:firstLine="480" w:firstLineChars="200"/>
        <w:rPr>
          <w:rFonts w:ascii="仿宋" w:hAnsi="仿宋" w:eastAsia="仿宋" w:cs="宋体"/>
          <w:sz w:val="24"/>
          <w:szCs w:val="20"/>
          <w:lang w:bidi="ar"/>
        </w:rPr>
      </w:pPr>
      <w:r>
        <w:rPr>
          <w:rFonts w:ascii="仿宋" w:hAnsi="仿宋" w:eastAsia="仿宋" w:cs="宋体"/>
          <w:sz w:val="24"/>
          <w:szCs w:val="20"/>
        </w:rPr>
        <mc:AlternateContent>
          <mc:Choice Requires="wps">
            <w:drawing>
              <wp:anchor distT="0" distB="0" distL="114300" distR="114300" simplePos="0" relativeHeight="251659264" behindDoc="0" locked="0" layoutInCell="1" allowOverlap="1">
                <wp:simplePos x="0" y="0"/>
                <wp:positionH relativeFrom="column">
                  <wp:posOffset>2545080</wp:posOffset>
                </wp:positionH>
                <wp:positionV relativeFrom="paragraph">
                  <wp:posOffset>325755</wp:posOffset>
                </wp:positionV>
                <wp:extent cx="2727960" cy="1836420"/>
                <wp:effectExtent l="4445" t="4445" r="10795" b="6985"/>
                <wp:wrapNone/>
                <wp:docPr id="2" name="矩形 2"/>
                <wp:cNvGraphicFramePr/>
                <a:graphic xmlns:a="http://schemas.openxmlformats.org/drawingml/2006/main">
                  <a:graphicData uri="http://schemas.microsoft.com/office/word/2010/wordprocessingShape">
                    <wps:wsp>
                      <wps:cNvSpPr/>
                      <wps:spPr>
                        <a:xfrm>
                          <a:off x="0" y="0"/>
                          <a:ext cx="2727960" cy="1836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txbxContent>
                      </wps:txbx>
                      <wps:bodyPr upright="1"/>
                    </wps:wsp>
                  </a:graphicData>
                </a:graphic>
              </wp:anchor>
            </w:drawing>
          </mc:Choice>
          <mc:Fallback>
            <w:pict>
              <v:rect id="_x0000_s1026" o:spid="_x0000_s1026" o:spt="1" style="position:absolute;left:0pt;margin-left:200.4pt;margin-top:25.65pt;height:144.6pt;width:214.8pt;z-index:251659264;mso-width-relative:page;mso-height-relative:page;" fillcolor="#FFFFFF" filled="t" stroked="t" coordsize="21600,21600" o:gfxdata="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tGpTLYAAAACgEAAA8AAAAAAAAAAQAgAAAAIgAAAGRy&#10;cy9kb3ducmV2LnhtbFBLAQIUABQAAAAIAIdO4kCuljCoBQIAACoEAAAOAAAAAAAAAAEAIAAAACcB&#10;AABkcnMvZTJvRG9jLnhtbFBLBQYAAAAABgAGAFkBAACeBQAAAAA=&#10;">
                <v:fill on="t" focussize="0,0"/>
                <v:stroke color="#000000" joinstyle="miter"/>
                <v:imagedata o:title=""/>
                <o:lock v:ext="edit" aspectratio="f"/>
                <v:textbox>
                  <w:txbxContent>
                    <w:p>
                      <w:pPr>
                        <w:jc w:val="center"/>
                        <w:rPr>
                          <w:rFonts w:ascii="宋体" w:hAnsi="宋体"/>
                          <w:szCs w:val="21"/>
                        </w:rPr>
                      </w:pPr>
                    </w:p>
                  </w:txbxContent>
                </v:textbox>
              </v:rect>
            </w:pict>
          </mc:Fallback>
        </mc:AlternateContent>
      </w:r>
      <w:r>
        <w:rPr>
          <w:rFonts w:ascii="仿宋" w:hAnsi="仿宋" w:eastAsia="仿宋" w:cs="宋体"/>
          <w:sz w:val="24"/>
          <w:szCs w:val="20"/>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325755</wp:posOffset>
                </wp:positionV>
                <wp:extent cx="2727960" cy="1836420"/>
                <wp:effectExtent l="4445" t="4445" r="10795" b="6985"/>
                <wp:wrapNone/>
                <wp:docPr id="3" name="矩形 3"/>
                <wp:cNvGraphicFramePr/>
                <a:graphic xmlns:a="http://schemas.openxmlformats.org/drawingml/2006/main">
                  <a:graphicData uri="http://schemas.microsoft.com/office/word/2010/wordprocessingShape">
                    <wps:wsp>
                      <wps:cNvSpPr/>
                      <wps:spPr>
                        <a:xfrm>
                          <a:off x="0" y="0"/>
                          <a:ext cx="2727960" cy="1836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txbxContent>
                      </wps:txbx>
                      <wps:bodyPr upright="1"/>
                    </wps:wsp>
                  </a:graphicData>
                </a:graphic>
              </wp:anchor>
            </w:drawing>
          </mc:Choice>
          <mc:Fallback>
            <w:pict>
              <v:rect id="_x0000_s1026" o:spid="_x0000_s1026" o:spt="1" style="position:absolute;left:0pt;margin-left:-14.4pt;margin-top:25.65pt;height:144.6pt;width:214.8pt;z-index:251660288;mso-width-relative:page;mso-height-relative:page;" fillcolor="#FFFFFF" filled="t" stroked="t" coordsize="21600,21600" o:gfxdata="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ETPN2QAAAAoBAAAPAAAAAAAAAAEAIAAAACIAAABk&#10;cnMvZG93bnJldi54bWxQSwECFAAUAAAACACHTuJAl2gxUwUCAAAqBAAADgAAAAAAAAABACAAAAAo&#10;AQAAZHJzL2Uyb0RvYy54bWxQSwUGAAAAAAYABgBZAQAAnwUAAAAA&#10;">
                <v:fill on="t" focussize="0,0"/>
                <v:stroke color="#000000" joinstyle="miter"/>
                <v:imagedata o:title=""/>
                <o:lock v:ext="edit" aspectratio="f"/>
                <v:textbox>
                  <w:txbxContent>
                    <w:p>
                      <w:pPr>
                        <w:jc w:val="center"/>
                        <w:rPr>
                          <w:rFonts w:ascii="宋体" w:hAnsi="宋体"/>
                          <w:szCs w:val="21"/>
                        </w:rPr>
                      </w:pPr>
                    </w:p>
                  </w:txbxContent>
                </v:textbox>
              </v:rect>
            </w:pict>
          </mc:Fallback>
        </mc:AlternateContent>
      </w:r>
      <w:r>
        <w:rPr>
          <w:rFonts w:ascii="仿宋" w:hAnsi="仿宋" w:eastAsia="仿宋" w:cs="宋体"/>
          <w:sz w:val="24"/>
          <w:szCs w:val="20"/>
          <w:lang w:bidi="ar"/>
        </w:rPr>
        <w:t>被授权人不得转授权。</w:t>
      </w:r>
    </w:p>
    <w:p>
      <w:pPr>
        <w:spacing w:line="460" w:lineRule="exact"/>
        <w:rPr>
          <w:rFonts w:ascii="仿宋" w:hAnsi="仿宋" w:eastAsia="仿宋" w:cs="宋体"/>
          <w:sz w:val="24"/>
          <w:szCs w:val="20"/>
          <w:lang w:bidi="ar"/>
        </w:rPr>
      </w:pPr>
    </w:p>
    <w:p>
      <w:pPr>
        <w:spacing w:line="460" w:lineRule="exact"/>
        <w:rPr>
          <w:rFonts w:ascii="仿宋" w:hAnsi="仿宋" w:eastAsia="仿宋" w:cs="宋体"/>
          <w:sz w:val="24"/>
          <w:szCs w:val="20"/>
          <w:lang w:bidi="ar"/>
        </w:rPr>
      </w:pPr>
    </w:p>
    <w:p>
      <w:pPr>
        <w:spacing w:line="460" w:lineRule="exact"/>
        <w:rPr>
          <w:rFonts w:ascii="仿宋" w:hAnsi="仿宋" w:eastAsia="仿宋" w:cs="宋体"/>
          <w:sz w:val="24"/>
          <w:szCs w:val="20"/>
          <w:lang w:bidi="ar"/>
        </w:rPr>
      </w:pPr>
    </w:p>
    <w:p>
      <w:pPr>
        <w:spacing w:line="460" w:lineRule="exact"/>
        <w:rPr>
          <w:rFonts w:ascii="仿宋" w:hAnsi="仿宋" w:eastAsia="仿宋" w:cs="宋体"/>
          <w:sz w:val="24"/>
          <w:szCs w:val="20"/>
          <w:lang w:bidi="ar"/>
        </w:rPr>
      </w:pPr>
    </w:p>
    <w:p>
      <w:pPr>
        <w:spacing w:line="460" w:lineRule="exact"/>
        <w:rPr>
          <w:rFonts w:ascii="仿宋" w:hAnsi="仿宋" w:eastAsia="仿宋" w:cs="宋体"/>
          <w:sz w:val="24"/>
          <w:szCs w:val="20"/>
          <w:lang w:bidi="ar"/>
        </w:rPr>
      </w:pPr>
    </w:p>
    <w:p>
      <w:pPr>
        <w:spacing w:line="460" w:lineRule="exact"/>
        <w:rPr>
          <w:rFonts w:ascii="仿宋" w:hAnsi="仿宋" w:eastAsia="仿宋" w:cs="宋体"/>
          <w:sz w:val="24"/>
          <w:szCs w:val="20"/>
          <w:lang w:bidi="ar"/>
        </w:rPr>
      </w:pPr>
      <w:r>
        <w:rPr>
          <w:rFonts w:ascii="仿宋" w:hAnsi="仿宋" w:eastAsia="仿宋" w:cs="宋体"/>
          <w:sz w:val="24"/>
          <w:szCs w:val="20"/>
          <w:lang w:bidi="ar"/>
        </w:rPr>
        <w:t xml:space="preserve">被授权人签名（章）：                     授权人签名（章）：             </w:t>
      </w:r>
    </w:p>
    <w:p>
      <w:pPr>
        <w:spacing w:line="460" w:lineRule="exact"/>
        <w:rPr>
          <w:rFonts w:ascii="仿宋" w:hAnsi="仿宋" w:eastAsia="仿宋" w:cs="宋体"/>
          <w:sz w:val="24"/>
          <w:szCs w:val="20"/>
          <w:lang w:bidi="ar"/>
        </w:rPr>
      </w:pPr>
      <w:r>
        <w:rPr>
          <w:rFonts w:ascii="仿宋" w:hAnsi="仿宋" w:eastAsia="仿宋" w:cs="宋体"/>
          <w:sz w:val="24"/>
          <w:szCs w:val="20"/>
          <w:lang w:bidi="ar"/>
        </w:rPr>
        <w:t>职</w:t>
      </w:r>
      <w:r>
        <w:rPr>
          <w:rFonts w:hint="eastAsia" w:ascii="仿宋" w:hAnsi="仿宋" w:eastAsia="仿宋" w:cs="宋体"/>
          <w:sz w:val="24"/>
          <w:szCs w:val="20"/>
          <w:lang w:bidi="ar"/>
        </w:rPr>
        <w:t xml:space="preserve"> </w:t>
      </w:r>
      <w:r>
        <w:rPr>
          <w:rFonts w:ascii="仿宋" w:hAnsi="仿宋" w:eastAsia="仿宋" w:cs="宋体"/>
          <w:sz w:val="24"/>
          <w:szCs w:val="20"/>
          <w:lang w:bidi="ar"/>
        </w:rPr>
        <w:t xml:space="preserve">             务：                     职</w:t>
      </w:r>
      <w:r>
        <w:rPr>
          <w:rFonts w:hint="eastAsia" w:ascii="仿宋" w:hAnsi="仿宋" w:eastAsia="仿宋" w:cs="宋体"/>
          <w:sz w:val="24"/>
          <w:szCs w:val="20"/>
          <w:lang w:bidi="ar"/>
        </w:rPr>
        <w:t xml:space="preserve"> </w:t>
      </w:r>
      <w:r>
        <w:rPr>
          <w:rFonts w:ascii="仿宋" w:hAnsi="仿宋" w:eastAsia="仿宋" w:cs="宋体"/>
          <w:sz w:val="24"/>
          <w:szCs w:val="20"/>
          <w:lang w:bidi="ar"/>
        </w:rPr>
        <w:t xml:space="preserve">           务：    </w:t>
      </w:r>
    </w:p>
    <w:p>
      <w:pPr>
        <w:autoSpaceDE w:val="0"/>
        <w:autoSpaceDN w:val="0"/>
        <w:spacing w:before="120" w:beforeLines="50" w:line="460" w:lineRule="exact"/>
        <w:ind w:right="27"/>
        <w:jc w:val="right"/>
        <w:rPr>
          <w:rFonts w:ascii="仿宋" w:hAnsi="仿宋" w:eastAsia="仿宋" w:cs="宋体"/>
          <w:sz w:val="24"/>
          <w:szCs w:val="20"/>
          <w:lang w:bidi="ar"/>
        </w:rPr>
      </w:pPr>
      <w:r>
        <w:rPr>
          <w:rFonts w:ascii="仿宋" w:hAnsi="仿宋" w:eastAsia="仿宋" w:cs="宋体"/>
          <w:sz w:val="24"/>
          <w:szCs w:val="20"/>
          <w:lang w:bidi="ar"/>
        </w:rPr>
        <w:t xml:space="preserve">                    投标人（公章）：                                                                                日期：</w:t>
      </w:r>
      <w:bookmarkEnd w:id="372"/>
    </w:p>
    <w:p>
      <w:pPr>
        <w:rPr>
          <w:rFonts w:ascii="仿宋" w:hAnsi="仿宋" w:eastAsia="仿宋" w:cs="宋体"/>
          <w:kern w:val="0"/>
          <w:sz w:val="24"/>
          <w:szCs w:val="20"/>
          <w:lang w:bidi="ar"/>
        </w:rPr>
      </w:pPr>
      <w:r>
        <w:rPr>
          <w:rFonts w:hint="eastAsia" w:ascii="仿宋" w:hAnsi="仿宋" w:eastAsia="仿宋" w:cs="宋体"/>
          <w:kern w:val="0"/>
          <w:sz w:val="24"/>
          <w:szCs w:val="20"/>
          <w:lang w:bidi="ar"/>
        </w:rPr>
        <w:br w:type="page"/>
      </w:r>
    </w:p>
    <w:p>
      <w:pPr>
        <w:pStyle w:val="25"/>
        <w:spacing w:line="460" w:lineRule="exact"/>
        <w:rPr>
          <w:rFonts w:ascii="仿宋" w:hAnsi="仿宋" w:eastAsia="仿宋" w:cs="宋体"/>
          <w:kern w:val="0"/>
          <w:sz w:val="24"/>
          <w:szCs w:val="20"/>
          <w:lang w:bidi="ar"/>
        </w:rPr>
      </w:pPr>
      <w:bookmarkStart w:id="374" w:name="_Toc151390402"/>
      <w:r>
        <w:rPr>
          <w:rFonts w:hint="eastAsia" w:ascii="仿宋" w:hAnsi="仿宋" w:eastAsia="仿宋" w:cs="宋体"/>
          <w:kern w:val="0"/>
          <w:sz w:val="24"/>
          <w:szCs w:val="20"/>
          <w:lang w:bidi="ar"/>
        </w:rPr>
        <w:t>（四）投标人公司简介（人员、场地、营业额、业绩、客户群体等介绍）</w:t>
      </w:r>
      <w:bookmarkEnd w:id="374"/>
    </w:p>
    <w:p>
      <w:pPr>
        <w:rPr>
          <w:rFonts w:ascii="仿宋" w:hAnsi="仿宋" w:eastAsia="仿宋" w:cs="宋体"/>
          <w:kern w:val="0"/>
          <w:sz w:val="24"/>
          <w:szCs w:val="20"/>
          <w:lang w:bidi="ar"/>
        </w:rPr>
      </w:pPr>
    </w:p>
    <w:p>
      <w:pPr>
        <w:rPr>
          <w:rFonts w:ascii="仿宋" w:hAnsi="仿宋" w:eastAsia="仿宋" w:cs="宋体"/>
          <w:kern w:val="0"/>
          <w:sz w:val="24"/>
          <w:szCs w:val="20"/>
          <w:lang w:bidi="ar"/>
        </w:rPr>
      </w:pPr>
      <w:r>
        <w:rPr>
          <w:rFonts w:hint="eastAsia" w:ascii="仿宋" w:hAnsi="仿宋" w:eastAsia="仿宋" w:cs="宋体"/>
          <w:kern w:val="0"/>
          <w:sz w:val="24"/>
          <w:szCs w:val="20"/>
          <w:lang w:bidi="ar"/>
        </w:rPr>
        <w:br w:type="page"/>
      </w:r>
    </w:p>
    <w:p>
      <w:pPr>
        <w:pStyle w:val="25"/>
        <w:spacing w:line="460" w:lineRule="exact"/>
        <w:rPr>
          <w:rFonts w:ascii="仿宋" w:hAnsi="仿宋" w:eastAsia="仿宋" w:cs="宋体"/>
          <w:kern w:val="0"/>
          <w:sz w:val="24"/>
          <w:szCs w:val="20"/>
          <w:lang w:bidi="ar"/>
        </w:rPr>
      </w:pPr>
      <w:bookmarkStart w:id="375" w:name="_Toc151390403"/>
      <w:r>
        <w:rPr>
          <w:rFonts w:hint="eastAsia" w:ascii="仿宋" w:hAnsi="仿宋" w:eastAsia="仿宋" w:cs="宋体"/>
          <w:kern w:val="0"/>
          <w:sz w:val="24"/>
          <w:szCs w:val="20"/>
          <w:lang w:bidi="ar"/>
        </w:rPr>
        <w:t>（五）企业基本证件复印件及道路运输许可证等相关资质证明</w:t>
      </w:r>
      <w:bookmarkEnd w:id="375"/>
    </w:p>
    <w:p>
      <w:pPr>
        <w:rPr>
          <w:rFonts w:ascii="仿宋" w:hAnsi="仿宋" w:eastAsia="仿宋" w:cs="宋体"/>
          <w:kern w:val="0"/>
          <w:sz w:val="24"/>
          <w:szCs w:val="20"/>
          <w:lang w:bidi="ar"/>
        </w:rPr>
      </w:pPr>
      <w:r>
        <w:rPr>
          <w:rFonts w:hint="eastAsia" w:ascii="仿宋" w:hAnsi="仿宋" w:eastAsia="仿宋" w:cs="宋体"/>
          <w:kern w:val="0"/>
          <w:sz w:val="24"/>
          <w:szCs w:val="20"/>
          <w:lang w:bidi="ar"/>
        </w:rPr>
        <w:br w:type="page"/>
      </w:r>
    </w:p>
    <w:p>
      <w:pPr>
        <w:pStyle w:val="25"/>
        <w:spacing w:line="460" w:lineRule="exact"/>
        <w:rPr>
          <w:rFonts w:ascii="仿宋" w:hAnsi="仿宋" w:eastAsia="仿宋" w:cs="宋体"/>
          <w:kern w:val="0"/>
          <w:sz w:val="24"/>
          <w:szCs w:val="20"/>
          <w:lang w:bidi="ar"/>
        </w:rPr>
      </w:pPr>
      <w:bookmarkStart w:id="376" w:name="_Toc151390404"/>
      <w:r>
        <w:rPr>
          <w:rFonts w:hint="eastAsia" w:ascii="仿宋" w:hAnsi="仿宋" w:eastAsia="仿宋" w:cs="宋体"/>
          <w:kern w:val="0"/>
          <w:sz w:val="24"/>
          <w:szCs w:val="20"/>
          <w:lang w:bidi="ar"/>
        </w:rPr>
        <w:t>（六）报</w:t>
      </w:r>
      <w:r>
        <w:rPr>
          <w:rFonts w:ascii="仿宋" w:hAnsi="仿宋" w:eastAsia="仿宋" w:cs="宋体"/>
          <w:kern w:val="0"/>
          <w:sz w:val="24"/>
          <w:szCs w:val="20"/>
          <w:lang w:bidi="ar"/>
        </w:rPr>
        <w:t>价函格式</w:t>
      </w:r>
      <w:bookmarkEnd w:id="376"/>
    </w:p>
    <w:p>
      <w:pPr>
        <w:spacing w:line="460" w:lineRule="exact"/>
        <w:rPr>
          <w:rFonts w:ascii="仿宋" w:hAnsi="仿宋" w:eastAsia="仿宋" w:cs="宋体"/>
          <w:color w:val="000000" w:themeColor="text1"/>
          <w:sz w:val="24"/>
          <w:szCs w:val="20"/>
          <w:lang w:bidi="ar"/>
          <w14:textFill>
            <w14:solidFill>
              <w14:schemeClr w14:val="tx1"/>
            </w14:solidFill>
          </w14:textFill>
        </w:rPr>
      </w:pPr>
      <w:r>
        <w:rPr>
          <w:rFonts w:hint="eastAsia" w:ascii="仿宋" w:hAnsi="仿宋" w:eastAsia="仿宋" w:cs="宋体"/>
          <w:color w:val="000000" w:themeColor="text1"/>
          <w:sz w:val="24"/>
          <w:szCs w:val="20"/>
          <w:lang w:bidi="ar"/>
          <w14:textFill>
            <w14:solidFill>
              <w14:schemeClr w14:val="tx1"/>
            </w14:solidFill>
          </w14:textFill>
        </w:rPr>
        <w:t>标段一：华南区域，</w:t>
      </w:r>
      <w:r>
        <w:rPr>
          <w:rFonts w:ascii="仿宋" w:hAnsi="仿宋" w:eastAsia="仿宋" w:cs="宋体"/>
          <w:color w:val="000000" w:themeColor="text1"/>
          <w:sz w:val="24"/>
          <w14:textFill>
            <w14:solidFill>
              <w14:schemeClr w14:val="tx1"/>
            </w14:solidFill>
          </w14:textFill>
        </w:rPr>
        <w:t>6400吨</w:t>
      </w:r>
      <w:r>
        <w:rPr>
          <w:rFonts w:hint="eastAsia" w:ascii="仿宋" w:hAnsi="仿宋" w:eastAsia="仿宋" w:cs="宋体"/>
          <w:color w:val="000000" w:themeColor="text1"/>
          <w:sz w:val="24"/>
          <w:szCs w:val="20"/>
          <w:lang w:bidi="ar"/>
          <w14:textFill>
            <w14:solidFill>
              <w14:schemeClr w14:val="tx1"/>
            </w14:solidFill>
          </w14:textFill>
        </w:rPr>
        <w:t>：</w:t>
      </w:r>
    </w:p>
    <w:tbl>
      <w:tblPr>
        <w:tblStyle w:val="38"/>
        <w:tblW w:w="7861" w:type="dxa"/>
        <w:tblInd w:w="0" w:type="dxa"/>
        <w:tblLayout w:type="autofit"/>
        <w:tblCellMar>
          <w:top w:w="0" w:type="dxa"/>
          <w:left w:w="108" w:type="dxa"/>
          <w:bottom w:w="0" w:type="dxa"/>
          <w:right w:w="108" w:type="dxa"/>
        </w:tblCellMar>
      </w:tblPr>
      <w:tblGrid>
        <w:gridCol w:w="1080"/>
        <w:gridCol w:w="1080"/>
        <w:gridCol w:w="1080"/>
        <w:gridCol w:w="1018"/>
        <w:gridCol w:w="1311"/>
        <w:gridCol w:w="1212"/>
        <w:gridCol w:w="1080"/>
      </w:tblGrid>
      <w:tr>
        <w:tblPrEx>
          <w:tblCellMar>
            <w:top w:w="0" w:type="dxa"/>
            <w:left w:w="108" w:type="dxa"/>
            <w:bottom w:w="0" w:type="dxa"/>
            <w:right w:w="108" w:type="dxa"/>
          </w:tblCellMar>
        </w:tblPrEx>
        <w:trPr>
          <w:trHeight w:val="278"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公里数</w:t>
            </w:r>
          </w:p>
        </w:tc>
        <w:tc>
          <w:tcPr>
            <w:tcW w:w="3541" w:type="dxa"/>
            <w:gridSpan w:val="3"/>
            <w:tcBorders>
              <w:top w:val="single" w:color="auto" w:sz="8" w:space="0"/>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仿宋" w:hAnsi="仿宋" w:eastAsia="仿宋" w:cs="Tahoma"/>
                <w:color w:val="000000"/>
              </w:rPr>
              <w:t>运费</w:t>
            </w:r>
          </w:p>
        </w:tc>
        <w:tc>
          <w:tcPr>
            <w:tcW w:w="1080" w:type="dxa"/>
            <w:tcBorders>
              <w:top w:val="single" w:color="auto" w:sz="8" w:space="0"/>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254"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18"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311"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仿宋" w:hAnsi="仿宋" w:eastAsia="仿宋" w:cs="Tahoma"/>
                <w:color w:val="000000"/>
              </w:rPr>
              <w:t>5-15吨</w:t>
            </w:r>
          </w:p>
        </w:tc>
        <w:tc>
          <w:tcPr>
            <w:tcW w:w="1212" w:type="dxa"/>
            <w:tcBorders>
              <w:top w:val="nil"/>
              <w:left w:val="nil"/>
              <w:bottom w:val="single" w:color="auto" w:sz="8" w:space="0"/>
              <w:right w:val="single" w:color="auto" w:sz="8" w:space="0"/>
            </w:tcBorders>
            <w:shd w:val="clear" w:color="auto" w:fill="auto"/>
            <w:noWrap/>
            <w:vAlign w:val="center"/>
          </w:tcPr>
          <w:p>
            <w:pPr>
              <w:jc w:val="center"/>
              <w:rPr>
                <w:rFonts w:hint="eastAsia"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73"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广东省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63"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深圳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53"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珠海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汕头</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韶关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佛山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江门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湛江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茂名</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肇庆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惠州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梅州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汕尾</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河源</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阳江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清远</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东莞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21"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中山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253"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潮州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揭阳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云浮</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95"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广西省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南宁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57"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柳州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89"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桂林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79"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梧州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69"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北海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防城港</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49"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钦州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39"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贵港</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玉林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百色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贺州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河池</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53"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来宾</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崇左</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119"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海南省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海口</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81"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三亚</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三沙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2" w:hRule="atLeast"/>
        </w:trPr>
        <w:tc>
          <w:tcPr>
            <w:tcW w:w="1080"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儋州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18"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311"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212"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hint="eastAsia" w:ascii="仿宋" w:hAnsi="仿宋" w:eastAsia="仿宋" w:cs="Tahoma"/>
                <w:color w:val="000000"/>
              </w:rPr>
            </w:pPr>
            <w:r>
              <w:rPr>
                <w:rFonts w:hint="eastAsia" w:ascii="仿宋" w:hAnsi="仿宋" w:eastAsia="仿宋" w:cs="Tahoma"/>
                <w:color w:val="000000"/>
              </w:rPr>
              <w:t>　</w:t>
            </w:r>
          </w:p>
        </w:tc>
      </w:tr>
    </w:tbl>
    <w:p>
      <w:pPr>
        <w:rPr>
          <w:rFonts w:ascii="仿宋" w:hAnsi="仿宋" w:eastAsia="仿宋" w:cs="宋体"/>
          <w:sz w:val="24"/>
          <w:szCs w:val="20"/>
          <w:lang w:bidi="ar"/>
        </w:rPr>
      </w:pPr>
      <w:r>
        <w:rPr>
          <w:rFonts w:ascii="仿宋" w:hAnsi="仿宋" w:eastAsia="仿宋" w:cs="宋体"/>
          <w:sz w:val="24"/>
          <w:szCs w:val="20"/>
          <w:lang w:bidi="ar"/>
        </w:rPr>
        <w:br w:type="page"/>
      </w:r>
      <w:r>
        <w:rPr>
          <w:rFonts w:ascii="仿宋" w:hAnsi="仿宋" w:eastAsia="仿宋" w:cs="宋体"/>
          <w:sz w:val="24"/>
          <w:szCs w:val="20"/>
          <w:lang w:bidi="ar"/>
        </w:rPr>
        <w:t>标段二：</w:t>
      </w:r>
      <w:r>
        <w:rPr>
          <w:rFonts w:hint="eastAsia" w:ascii="仿宋" w:hAnsi="仿宋" w:eastAsia="仿宋" w:cs="宋体"/>
          <w:sz w:val="24"/>
          <w:szCs w:val="20"/>
          <w:lang w:bidi="ar"/>
        </w:rPr>
        <w:t>华中区域，</w:t>
      </w:r>
      <w:r>
        <w:rPr>
          <w:rFonts w:hint="eastAsia" w:ascii="仿宋" w:hAnsi="仿宋" w:eastAsia="仿宋" w:cs="宋体"/>
          <w:sz w:val="24"/>
        </w:rPr>
        <w:t>3</w:t>
      </w:r>
      <w:r>
        <w:rPr>
          <w:rFonts w:ascii="仿宋" w:hAnsi="仿宋" w:eastAsia="仿宋" w:cs="宋体"/>
          <w:sz w:val="24"/>
        </w:rPr>
        <w:t>240吨</w:t>
      </w:r>
    </w:p>
    <w:tbl>
      <w:tblPr>
        <w:tblStyle w:val="38"/>
        <w:tblW w:w="8522" w:type="dxa"/>
        <w:tblInd w:w="-10" w:type="dxa"/>
        <w:tblLayout w:type="autofit"/>
        <w:tblCellMar>
          <w:top w:w="0" w:type="dxa"/>
          <w:left w:w="108" w:type="dxa"/>
          <w:bottom w:w="0" w:type="dxa"/>
          <w:right w:w="108" w:type="dxa"/>
        </w:tblCellMar>
      </w:tblPr>
      <w:tblGrid>
        <w:gridCol w:w="1081"/>
        <w:gridCol w:w="1081"/>
        <w:gridCol w:w="1080"/>
        <w:gridCol w:w="1436"/>
        <w:gridCol w:w="1418"/>
        <w:gridCol w:w="1346"/>
        <w:gridCol w:w="1080"/>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4200"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43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346"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河南省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郑州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开封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洛阳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平顶山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安阳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鹤壁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新乡</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焦作</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濮阳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许昌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漯河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三门峡</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南阳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商丘</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信阳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周口</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驻马店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湖北省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武汉</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十堰</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荆州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宜昌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襄阳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鄂州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荆门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孝感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黄冈</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咸宁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随州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恩施</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湖南省</w:t>
            </w: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长沙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株洲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湘潭</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衡阳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邵阳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岳阳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常德</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张家界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益阳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郴州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永州</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怀化</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娄底</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1"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湘西</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6"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bl>
    <w:p>
      <w:pPr>
        <w:rPr>
          <w:rFonts w:ascii="仿宋" w:hAnsi="仿宋" w:eastAsia="仿宋" w:cs="宋体"/>
          <w:sz w:val="24"/>
          <w:szCs w:val="20"/>
          <w:lang w:bidi="ar"/>
        </w:rPr>
      </w:pPr>
      <w:r>
        <w:rPr>
          <w:rFonts w:hint="eastAsia" w:ascii="仿宋" w:hAnsi="仿宋" w:eastAsia="仿宋" w:cs="宋体"/>
          <w:sz w:val="24"/>
          <w:szCs w:val="20"/>
          <w:lang w:bidi="ar"/>
        </w:rPr>
        <w:br w:type="page"/>
      </w:r>
    </w:p>
    <w:p>
      <w:pPr>
        <w:spacing w:line="460" w:lineRule="exact"/>
        <w:rPr>
          <w:rFonts w:ascii="仿宋" w:hAnsi="仿宋" w:eastAsia="仿宋" w:cs="宋体"/>
          <w:sz w:val="24"/>
          <w:szCs w:val="20"/>
          <w:lang w:bidi="ar"/>
        </w:rPr>
      </w:pPr>
      <w:r>
        <w:rPr>
          <w:rFonts w:hint="eastAsia" w:ascii="仿宋" w:hAnsi="仿宋" w:eastAsia="仿宋" w:cs="宋体"/>
          <w:sz w:val="24"/>
          <w:szCs w:val="20"/>
          <w:lang w:bidi="ar"/>
        </w:rPr>
        <w:t>标段三：华北区域价格，</w:t>
      </w:r>
      <w:r>
        <w:rPr>
          <w:rFonts w:hint="eastAsia" w:ascii="仿宋" w:hAnsi="仿宋" w:eastAsia="仿宋" w:cs="宋体"/>
          <w:sz w:val="24"/>
        </w:rPr>
        <w:t>5</w:t>
      </w:r>
      <w:r>
        <w:rPr>
          <w:rFonts w:ascii="仿宋" w:hAnsi="仿宋" w:eastAsia="仿宋" w:cs="宋体"/>
          <w:sz w:val="24"/>
        </w:rPr>
        <w:t>220吨</w:t>
      </w:r>
    </w:p>
    <w:tbl>
      <w:tblPr>
        <w:tblStyle w:val="38"/>
        <w:tblW w:w="8521" w:type="dxa"/>
        <w:tblInd w:w="-10" w:type="dxa"/>
        <w:tblLayout w:type="autofit"/>
        <w:tblCellMar>
          <w:top w:w="0" w:type="dxa"/>
          <w:left w:w="108" w:type="dxa"/>
          <w:bottom w:w="0" w:type="dxa"/>
          <w:right w:w="108" w:type="dxa"/>
        </w:tblCellMar>
      </w:tblPr>
      <w:tblGrid>
        <w:gridCol w:w="1081"/>
        <w:gridCol w:w="1080"/>
        <w:gridCol w:w="1080"/>
        <w:gridCol w:w="1437"/>
        <w:gridCol w:w="1559"/>
        <w:gridCol w:w="1204"/>
        <w:gridCol w:w="1080"/>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4200"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北京市</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市区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密云送货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延庆送货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昌平送货</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河北省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石家庄</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唐山</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秦皇岛</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邯郸</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邢台</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保定</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张家口</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承德</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沧州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廊坊</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衡水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山西省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太原</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大同</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朔州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阳泉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长治</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忻州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吕梁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晋中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临汾</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晋城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内蒙古自治区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呼和浩特</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包头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乌海</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赤峰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通辽</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鄂尔多斯</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呼伦贝尔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巴彦淖尔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乌兰察布</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锡林郭勒盟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兴安盟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阿拉善盟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59"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04"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bl>
    <w:p>
      <w:pPr>
        <w:rPr>
          <w:rFonts w:ascii="仿宋" w:hAnsi="仿宋" w:eastAsia="仿宋" w:cs="宋体"/>
          <w:sz w:val="24"/>
          <w:szCs w:val="20"/>
          <w:lang w:bidi="ar"/>
        </w:rPr>
      </w:pPr>
      <w:r>
        <w:rPr>
          <w:rFonts w:hint="eastAsia" w:ascii="仿宋" w:hAnsi="仿宋" w:eastAsia="仿宋" w:cs="宋体"/>
          <w:sz w:val="24"/>
          <w:szCs w:val="20"/>
          <w:lang w:bidi="ar"/>
        </w:rPr>
        <w:br w:type="page"/>
      </w:r>
      <w:r>
        <w:rPr>
          <w:rFonts w:hint="eastAsia" w:ascii="仿宋" w:hAnsi="仿宋" w:eastAsia="仿宋" w:cs="宋体"/>
          <w:sz w:val="24"/>
          <w:szCs w:val="20"/>
          <w:lang w:bidi="ar"/>
        </w:rPr>
        <w:t>标段四：</w:t>
      </w:r>
      <w:r>
        <w:rPr>
          <w:rFonts w:ascii="仿宋" w:hAnsi="仿宋" w:eastAsia="仿宋" w:cs="宋体"/>
          <w:sz w:val="24"/>
          <w:szCs w:val="20"/>
          <w:lang w:bidi="ar"/>
        </w:rPr>
        <w:t>西北区域价格，</w:t>
      </w:r>
      <w:r>
        <w:rPr>
          <w:rFonts w:hint="eastAsia" w:ascii="仿宋" w:hAnsi="仿宋" w:eastAsia="仿宋" w:cs="宋体"/>
          <w:sz w:val="24"/>
        </w:rPr>
        <w:t>1</w:t>
      </w:r>
      <w:r>
        <w:rPr>
          <w:rFonts w:ascii="仿宋" w:hAnsi="仿宋" w:eastAsia="仿宋" w:cs="宋体"/>
          <w:sz w:val="24"/>
        </w:rPr>
        <w:t>0900吨</w:t>
      </w:r>
    </w:p>
    <w:tbl>
      <w:tblPr>
        <w:tblStyle w:val="38"/>
        <w:tblW w:w="8521" w:type="dxa"/>
        <w:tblInd w:w="-10" w:type="dxa"/>
        <w:tblLayout w:type="autofit"/>
        <w:tblCellMar>
          <w:top w:w="0" w:type="dxa"/>
          <w:left w:w="108" w:type="dxa"/>
          <w:bottom w:w="0" w:type="dxa"/>
          <w:right w:w="108" w:type="dxa"/>
        </w:tblCellMar>
      </w:tblPr>
      <w:tblGrid>
        <w:gridCol w:w="1081"/>
        <w:gridCol w:w="1080"/>
        <w:gridCol w:w="1080"/>
        <w:gridCol w:w="1437"/>
        <w:gridCol w:w="1418"/>
        <w:gridCol w:w="1345"/>
        <w:gridCol w:w="1080"/>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4200"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陕西省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西安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铜川</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宝鸡</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咸阳</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渭南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延安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汉中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榆林</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安康</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商洛</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宁夏回族自治区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银川</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石嘴</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吴中</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固原</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中卫</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甘肃省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兰州</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金昌</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白银</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天水</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嘉峪关</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武威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张掖</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平凉</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酒泉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庆阳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定西</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陇南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临夏</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青海省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西宁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黄南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海南</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果洛</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玉树</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海西</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新疆维吾尔族自治区</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乌鲁木齐</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克拉玛依</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吐鲁番</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哈密</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和田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阿克苏</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喀什</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塔城</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阿勒泰</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克孜勒</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巴音郭楞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昌吉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博尔塔</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拉蒙古</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伊犁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37"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418"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bl>
    <w:p>
      <w:pPr>
        <w:rPr>
          <w:rFonts w:ascii="仿宋" w:hAnsi="仿宋" w:eastAsia="仿宋" w:cs="宋体"/>
          <w:sz w:val="24"/>
          <w:szCs w:val="20"/>
          <w:lang w:bidi="ar"/>
        </w:rPr>
      </w:pPr>
      <w:r>
        <w:rPr>
          <w:rFonts w:hint="eastAsia" w:ascii="仿宋" w:hAnsi="仿宋" w:eastAsia="仿宋" w:cs="宋体"/>
          <w:sz w:val="24"/>
          <w:szCs w:val="20"/>
          <w:lang w:bidi="ar"/>
        </w:rPr>
        <w:br w:type="page"/>
      </w:r>
    </w:p>
    <w:p>
      <w:pPr>
        <w:spacing w:line="460" w:lineRule="exact"/>
        <w:rPr>
          <w:rFonts w:ascii="仿宋" w:hAnsi="仿宋" w:eastAsia="仿宋" w:cs="宋体"/>
          <w:sz w:val="24"/>
          <w:szCs w:val="20"/>
          <w:lang w:bidi="ar"/>
        </w:rPr>
      </w:pPr>
      <w:r>
        <w:rPr>
          <w:rFonts w:hint="eastAsia" w:ascii="仿宋" w:hAnsi="仿宋" w:eastAsia="仿宋" w:cs="宋体"/>
          <w:sz w:val="24"/>
          <w:szCs w:val="20"/>
          <w:lang w:bidi="ar"/>
        </w:rPr>
        <w:t>标段五：</w:t>
      </w:r>
      <w:r>
        <w:rPr>
          <w:rFonts w:ascii="仿宋" w:hAnsi="仿宋" w:eastAsia="仿宋" w:cs="宋体"/>
          <w:sz w:val="24"/>
          <w:szCs w:val="20"/>
          <w:lang w:bidi="ar"/>
        </w:rPr>
        <w:t>西南区域价格，</w:t>
      </w:r>
      <w:r>
        <w:rPr>
          <w:rFonts w:hint="eastAsia" w:ascii="仿宋" w:hAnsi="仿宋" w:eastAsia="仿宋" w:cs="宋体"/>
          <w:sz w:val="24"/>
        </w:rPr>
        <w:t>1</w:t>
      </w:r>
      <w:r>
        <w:rPr>
          <w:rFonts w:ascii="仿宋" w:hAnsi="仿宋" w:eastAsia="仿宋" w:cs="宋体"/>
          <w:sz w:val="24"/>
        </w:rPr>
        <w:t>8000吨</w:t>
      </w:r>
    </w:p>
    <w:tbl>
      <w:tblPr>
        <w:tblStyle w:val="38"/>
        <w:tblW w:w="8521" w:type="dxa"/>
        <w:tblInd w:w="-10" w:type="dxa"/>
        <w:tblLayout w:type="autofit"/>
        <w:tblCellMar>
          <w:top w:w="0" w:type="dxa"/>
          <w:left w:w="108" w:type="dxa"/>
          <w:bottom w:w="0" w:type="dxa"/>
          <w:right w:w="108" w:type="dxa"/>
        </w:tblCellMar>
      </w:tblPr>
      <w:tblGrid>
        <w:gridCol w:w="1081"/>
        <w:gridCol w:w="1080"/>
        <w:gridCol w:w="1080"/>
        <w:gridCol w:w="1295"/>
        <w:gridCol w:w="1560"/>
        <w:gridCol w:w="1345"/>
        <w:gridCol w:w="1080"/>
      </w:tblGrid>
      <w:tr>
        <w:tblPrEx>
          <w:tblCellMar>
            <w:top w:w="0" w:type="dxa"/>
            <w:left w:w="108" w:type="dxa"/>
            <w:bottom w:w="0" w:type="dxa"/>
            <w:right w:w="108" w:type="dxa"/>
          </w:tblCellMar>
        </w:tblPrEx>
        <w:trPr>
          <w:trHeight w:val="300" w:hRule="atLeast"/>
        </w:trPr>
        <w:tc>
          <w:tcPr>
            <w:tcW w:w="108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rPr>
              <w:t>省份</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 xml:space="preserve">城市 </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公里数</w:t>
            </w:r>
          </w:p>
        </w:tc>
        <w:tc>
          <w:tcPr>
            <w:tcW w:w="4200" w:type="dxa"/>
            <w:gridSpan w:val="3"/>
            <w:tcBorders>
              <w:top w:val="single" w:color="auto" w:sz="8" w:space="0"/>
              <w:left w:val="nil"/>
              <w:bottom w:val="single" w:color="auto" w:sz="8" w:space="0"/>
              <w:right w:val="single" w:color="000000"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运费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装卸费</w:t>
            </w:r>
          </w:p>
        </w:tc>
      </w:tr>
      <w:tr>
        <w:tblPrEx>
          <w:tblCellMar>
            <w:top w:w="0" w:type="dxa"/>
            <w:left w:w="108" w:type="dxa"/>
            <w:bottom w:w="0" w:type="dxa"/>
            <w:right w:w="108" w:type="dxa"/>
          </w:tblCellMar>
        </w:tblPrEx>
        <w:trPr>
          <w:trHeight w:val="360" w:hRule="atLeast"/>
        </w:trPr>
        <w:tc>
          <w:tcPr>
            <w:tcW w:w="108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29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5吨</w:t>
            </w:r>
          </w:p>
        </w:tc>
        <w:tc>
          <w:tcPr>
            <w:tcW w:w="156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5-15吨</w:t>
            </w:r>
          </w:p>
        </w:tc>
        <w:tc>
          <w:tcPr>
            <w:tcW w:w="1345"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Microsoft YaHei UI" w:hAnsi="Microsoft YaHei UI" w:eastAsia="Microsoft YaHei UI" w:cs="Tahoma"/>
                <w:color w:val="000000"/>
              </w:rPr>
              <w:t>≥</w:t>
            </w:r>
            <w:r>
              <w:rPr>
                <w:rFonts w:hint="eastAsia" w:ascii="仿宋" w:hAnsi="仿宋" w:eastAsia="仿宋" w:cs="Tahoma"/>
                <w:color w:val="000000"/>
              </w:rPr>
              <w:t>15吨</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重庆市</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市区</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周转</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偏远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四川省</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成都</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自贡</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攀枝花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泸州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德阳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绵阳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广元</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遂宁</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内江</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乐山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南充</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眉山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宜宾</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广安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达州</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雅安</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巴中</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资阳</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阿坝</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甘孜</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仿宋" w:hAnsi="仿宋" w:eastAsia="仿宋" w:cs="Tahoma"/>
                <w:color w:val="000000"/>
              </w:rPr>
            </w:pPr>
            <w:r>
              <w:rPr>
                <w:rFonts w:hint="eastAsia" w:ascii="仿宋" w:hAnsi="仿宋" w:eastAsia="仿宋" w:cs="Tahoma"/>
                <w:color w:val="000000"/>
              </w:rPr>
              <w:t>凉山</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auto" w:fill="auto"/>
            <w:noWrap/>
            <w:vAlign w:val="center"/>
          </w:tcPr>
          <w:p>
            <w:pP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云南省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昆明</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曲靖</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玉溪</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保山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昭通</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丽江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普洱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临沧</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文山</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红河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哈尼族</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西双版纳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楚雄</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大理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德宏</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怒江</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迪庆</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贵州省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贵阳</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六盘水</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遵义</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安顺</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铜仁</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毕节</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黔西南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黔东南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黔南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restart"/>
            <w:tcBorders>
              <w:top w:val="nil"/>
              <w:left w:val="single" w:color="auto" w:sz="8" w:space="0"/>
              <w:bottom w:val="single" w:color="000000"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西藏自治区</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拉萨</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那曲</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昌都</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山南</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日喀则</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阿里</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r>
        <w:tblPrEx>
          <w:tblCellMar>
            <w:top w:w="0" w:type="dxa"/>
            <w:left w:w="108" w:type="dxa"/>
            <w:bottom w:w="0" w:type="dxa"/>
            <w:right w:w="108" w:type="dxa"/>
          </w:tblCellMar>
        </w:tblPrEx>
        <w:trPr>
          <w:trHeight w:val="300" w:hRule="atLeast"/>
        </w:trPr>
        <w:tc>
          <w:tcPr>
            <w:tcW w:w="1081" w:type="dxa"/>
            <w:vMerge w:val="continue"/>
            <w:tcBorders>
              <w:top w:val="nil"/>
              <w:left w:val="single" w:color="auto" w:sz="8" w:space="0"/>
              <w:bottom w:val="single" w:color="000000" w:sz="8" w:space="0"/>
              <w:right w:val="single" w:color="auto" w:sz="8" w:space="0"/>
            </w:tcBorders>
            <w:vAlign w:val="center"/>
          </w:tcPr>
          <w:p>
            <w:pPr>
              <w:rPr>
                <w:rFonts w:ascii="仿宋" w:hAnsi="仿宋" w:eastAsia="仿宋" w:cs="Tahoma"/>
                <w:color w:val="000000"/>
                <w:sz w:val="24"/>
              </w:rPr>
            </w:pP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林芝</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29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56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345"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c>
          <w:tcPr>
            <w:tcW w:w="1080" w:type="dxa"/>
            <w:tcBorders>
              <w:top w:val="nil"/>
              <w:left w:val="nil"/>
              <w:bottom w:val="single" w:color="auto" w:sz="8" w:space="0"/>
              <w:right w:val="single" w:color="auto" w:sz="8" w:space="0"/>
            </w:tcBorders>
            <w:shd w:val="clear" w:color="000000" w:fill="FFFFFF"/>
            <w:noWrap/>
            <w:vAlign w:val="center"/>
          </w:tcPr>
          <w:p>
            <w:pPr>
              <w:jc w:val="center"/>
              <w:rPr>
                <w:rFonts w:ascii="仿宋" w:hAnsi="仿宋" w:eastAsia="仿宋" w:cs="Tahoma"/>
                <w:color w:val="000000"/>
              </w:rPr>
            </w:pPr>
            <w:r>
              <w:rPr>
                <w:rFonts w:hint="eastAsia" w:ascii="仿宋" w:hAnsi="仿宋" w:eastAsia="仿宋" w:cs="Tahoma"/>
                <w:color w:val="000000"/>
              </w:rPr>
              <w:t>　</w:t>
            </w:r>
          </w:p>
        </w:tc>
      </w:tr>
    </w:tbl>
    <w:p>
      <w:pPr>
        <w:spacing w:line="460" w:lineRule="exact"/>
        <w:rPr>
          <w:rFonts w:ascii="仿宋" w:hAnsi="仿宋" w:eastAsia="仿宋" w:cs="仿宋"/>
          <w:sz w:val="24"/>
        </w:rPr>
      </w:pPr>
      <w:r>
        <w:rPr>
          <w:rFonts w:ascii="仿宋" w:hAnsi="仿宋" w:eastAsia="仿宋" w:cs="仿宋"/>
          <w:sz w:val="24"/>
        </w:rPr>
        <w:t>标段六：华东区域价格，</w:t>
      </w:r>
      <w:r>
        <w:rPr>
          <w:rFonts w:hint="eastAsia" w:ascii="仿宋" w:hAnsi="仿宋" w:eastAsia="仿宋" w:cs="仿宋"/>
          <w:sz w:val="24"/>
        </w:rPr>
        <w:t>2</w:t>
      </w:r>
      <w:r>
        <w:rPr>
          <w:rFonts w:ascii="仿宋" w:hAnsi="仿宋" w:eastAsia="仿宋" w:cs="仿宋"/>
          <w:sz w:val="24"/>
        </w:rPr>
        <w:t>740吨</w:t>
      </w:r>
    </w:p>
    <w:tbl>
      <w:tblPr>
        <w:tblStyle w:val="38"/>
        <w:tblW w:w="8495" w:type="dxa"/>
        <w:tblInd w:w="0" w:type="dxa"/>
        <w:tblLayout w:type="autofit"/>
        <w:tblCellMar>
          <w:top w:w="0" w:type="dxa"/>
          <w:left w:w="108" w:type="dxa"/>
          <w:bottom w:w="0" w:type="dxa"/>
          <w:right w:w="108" w:type="dxa"/>
        </w:tblCellMar>
      </w:tblPr>
      <w:tblGrid>
        <w:gridCol w:w="1080"/>
        <w:gridCol w:w="1080"/>
        <w:gridCol w:w="1080"/>
        <w:gridCol w:w="1428"/>
        <w:gridCol w:w="1276"/>
        <w:gridCol w:w="1417"/>
        <w:gridCol w:w="1134"/>
      </w:tblGrid>
      <w:tr>
        <w:tblPrEx>
          <w:tblCellMar>
            <w:top w:w="0" w:type="dxa"/>
            <w:left w:w="108" w:type="dxa"/>
            <w:bottom w:w="0" w:type="dxa"/>
            <w:right w:w="108" w:type="dxa"/>
          </w:tblCellMar>
        </w:tblPrEx>
        <w:trPr>
          <w:trHeight w:val="300"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省份</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xml:space="preserve">城市 </w:t>
            </w:r>
          </w:p>
        </w:tc>
        <w:tc>
          <w:tcPr>
            <w:tcW w:w="1080" w:type="dxa"/>
            <w:vMerge w:val="restar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公里数</w:t>
            </w:r>
          </w:p>
        </w:tc>
        <w:tc>
          <w:tcPr>
            <w:tcW w:w="4121" w:type="dxa"/>
            <w:gridSpan w:val="3"/>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运费</w:t>
            </w:r>
          </w:p>
        </w:tc>
        <w:tc>
          <w:tcPr>
            <w:tcW w:w="1134" w:type="dxa"/>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装卸费</w:t>
            </w:r>
          </w:p>
        </w:tc>
      </w:tr>
      <w:tr>
        <w:tblPrEx>
          <w:tblCellMar>
            <w:top w:w="0" w:type="dxa"/>
            <w:left w:w="108" w:type="dxa"/>
            <w:bottom w:w="0" w:type="dxa"/>
            <w:right w:w="108" w:type="dxa"/>
          </w:tblCellMar>
        </w:tblPrEx>
        <w:trPr>
          <w:trHeight w:val="360"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428"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Microsoft YaHei UI" w:hAnsi="Microsoft YaHei UI" w:eastAsia="Microsoft YaHei UI" w:cs="Tahoma"/>
                <w:color w:val="000000"/>
                <w:kern w:val="0"/>
                <w:sz w:val="24"/>
              </w:rPr>
              <w:t>≤</w:t>
            </w:r>
            <w:r>
              <w:rPr>
                <w:rFonts w:hint="eastAsia" w:ascii="仿宋" w:hAnsi="仿宋" w:eastAsia="仿宋" w:cs="Tahoma"/>
                <w:color w:val="000000"/>
                <w:kern w:val="0"/>
                <w:sz w:val="24"/>
              </w:rPr>
              <w:t>5吨</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5-15吨</w:t>
            </w:r>
          </w:p>
        </w:tc>
        <w:tc>
          <w:tcPr>
            <w:tcW w:w="1417"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Tahoma"/>
                <w:color w:val="000000"/>
                <w:kern w:val="0"/>
                <w:sz w:val="24"/>
              </w:rPr>
            </w:pPr>
            <w:r>
              <w:rPr>
                <w:rFonts w:hint="eastAsia" w:ascii="Microsoft YaHei UI" w:hAnsi="Microsoft YaHei UI" w:eastAsia="Microsoft YaHei UI" w:cs="Tahoma"/>
                <w:color w:val="000000"/>
                <w:kern w:val="0"/>
                <w:sz w:val="24"/>
              </w:rPr>
              <w:t>≥</w:t>
            </w:r>
            <w:r>
              <w:rPr>
                <w:rFonts w:hint="eastAsia" w:ascii="仿宋" w:hAnsi="仿宋" w:eastAsia="仿宋" w:cs="Tahoma"/>
                <w:color w:val="000000"/>
                <w:kern w:val="0"/>
                <w:sz w:val="24"/>
              </w:rPr>
              <w:t>15吨</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福建省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福州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厦门</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莆田</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三明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泉州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漳州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南平</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龙岩</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宁德</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山东省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济南</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青岛</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淄博</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枣庄</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东营</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烟台</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潍坊</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济宁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泰安</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威海</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日照</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莱芜</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临沂</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德州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聊城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滨州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菏泽</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浙江省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杭州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宁波</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温州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嘉兴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湖州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绍兴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金华</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衢州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舟山</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台州</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Tahoma"/>
                <w:color w:val="000000"/>
                <w:kern w:val="0"/>
                <w:sz w:val="24"/>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丽水</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28"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276"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417"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c>
          <w:tcPr>
            <w:tcW w:w="1134"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Tahoma"/>
                <w:color w:val="000000"/>
                <w:kern w:val="0"/>
                <w:sz w:val="22"/>
                <w:szCs w:val="22"/>
              </w:rPr>
            </w:pPr>
            <w:r>
              <w:rPr>
                <w:rFonts w:hint="eastAsia" w:ascii="宋体" w:hAnsi="宋体" w:cs="Tahoma"/>
                <w:color w:val="000000"/>
                <w:kern w:val="0"/>
                <w:sz w:val="22"/>
                <w:szCs w:val="22"/>
              </w:rPr>
              <w:t>江苏省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南京</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无锡</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徐州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常州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苏州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南通</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连云港</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淮安</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盐城</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扬州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镇江</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泰州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宿迁</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江西省</w:t>
            </w: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仿宋" w:hAnsi="仿宋" w:eastAsia="仿宋" w:cs="Tahoma"/>
                <w:color w:val="000000"/>
                <w:kern w:val="0"/>
                <w:sz w:val="24"/>
              </w:rPr>
            </w:pPr>
            <w:r>
              <w:rPr>
                <w:rFonts w:hint="eastAsia" w:ascii="仿宋" w:hAnsi="仿宋" w:eastAsia="仿宋" w:cs="Tahoma"/>
                <w:color w:val="000000"/>
                <w:kern w:val="0"/>
                <w:sz w:val="24"/>
              </w:rPr>
              <w:t>南昌</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景德镇</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萍乡</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九江</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新余</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鹰潭</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赣州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吉安</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宜春</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抚州</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Tahoma"/>
                <w:color w:val="000000"/>
                <w:kern w:val="0"/>
                <w:sz w:val="22"/>
                <w:szCs w:val="22"/>
              </w:rPr>
            </w:pPr>
          </w:p>
        </w:tc>
        <w:tc>
          <w:tcPr>
            <w:tcW w:w="1080"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上饶</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Tahoma" w:hAnsi="Tahoma" w:cs="Tahoma"/>
                <w:color w:val="000000"/>
                <w:kern w:val="0"/>
                <w:sz w:val="22"/>
                <w:szCs w:val="22"/>
              </w:rPr>
            </w:pPr>
            <w:r>
              <w:rPr>
                <w:rFonts w:ascii="Tahoma" w:hAnsi="Tahoma" w:cs="Tahoma"/>
                <w:color w:val="000000"/>
                <w:kern w:val="0"/>
                <w:sz w:val="22"/>
                <w:szCs w:val="22"/>
              </w:rPr>
              <w:t>　</w:t>
            </w:r>
          </w:p>
        </w:tc>
        <w:tc>
          <w:tcPr>
            <w:tcW w:w="1428"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276"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417"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c>
          <w:tcPr>
            <w:tcW w:w="1134" w:type="dxa"/>
            <w:tcBorders>
              <w:top w:val="nil"/>
              <w:left w:val="nil"/>
              <w:bottom w:val="single" w:color="auto" w:sz="8" w:space="0"/>
              <w:right w:val="single" w:color="auto" w:sz="8"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bl>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价格说明：</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以上均为吨公里报价。</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公里数以四川天成明超电缆有限公司为起点、所列地级市为实际运送地，百度地图显示距离，价格为地级市直达价格，实际运送地转县级市或乡村的，以实际起运地和实际到达地的百度地图或高德地图距离为准。</w:t>
      </w:r>
    </w:p>
    <w:p>
      <w:pPr>
        <w:spacing w:line="460" w:lineRule="exac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以上价格以每个区域每天到货量进行结算，以上价格运费中不包含发货时的装车费用，装车由甲方承担，装车的防护用具木方、隔板等由甲方提供，运费和卸货费用均为固定价格，此价格在合同期内将不再变动。</w:t>
      </w:r>
    </w:p>
    <w:p>
      <w:pPr>
        <w:rPr>
          <w:rFonts w:ascii="仿宋" w:hAnsi="仿宋" w:eastAsia="仿宋"/>
          <w:sz w:val="24"/>
        </w:rPr>
      </w:pPr>
      <w:r>
        <w:rPr>
          <w:rFonts w:hint="eastAsia" w:ascii="仿宋" w:hAnsi="仿宋" w:eastAsia="仿宋"/>
          <w:sz w:val="24"/>
        </w:rPr>
        <w:br w:type="page"/>
      </w:r>
    </w:p>
    <w:p>
      <w:pPr>
        <w:pStyle w:val="25"/>
        <w:spacing w:line="460" w:lineRule="exact"/>
        <w:rPr>
          <w:rFonts w:ascii="仿宋" w:hAnsi="仿宋" w:eastAsia="仿宋"/>
          <w:kern w:val="2"/>
          <w:sz w:val="24"/>
          <w:szCs w:val="24"/>
        </w:rPr>
      </w:pPr>
      <w:bookmarkStart w:id="377" w:name="_Toc151390405"/>
      <w:r>
        <w:rPr>
          <w:rFonts w:hint="eastAsia" w:ascii="仿宋" w:hAnsi="仿宋" w:eastAsia="仿宋"/>
          <w:kern w:val="2"/>
          <w:sz w:val="24"/>
          <w:szCs w:val="24"/>
        </w:rPr>
        <w:t>（七）承诺函</w:t>
      </w:r>
      <w:bookmarkEnd w:id="377"/>
    </w:p>
    <w:p>
      <w:pPr>
        <w:adjustRightInd w:val="0"/>
        <w:snapToGrid w:val="0"/>
        <w:spacing w:line="360" w:lineRule="auto"/>
        <w:jc w:val="center"/>
        <w:rPr>
          <w:rFonts w:ascii="仿宋" w:hAnsi="仿宋" w:eastAsia="仿宋" w:cs="宋体"/>
          <w:b/>
          <w:bCs/>
          <w:sz w:val="28"/>
          <w:szCs w:val="28"/>
        </w:rPr>
      </w:pPr>
    </w:p>
    <w:p>
      <w:pPr>
        <w:adjustRightInd w:val="0"/>
        <w:snapToGrid w:val="0"/>
        <w:spacing w:line="360" w:lineRule="auto"/>
        <w:jc w:val="center"/>
        <w:rPr>
          <w:rFonts w:ascii="仿宋" w:hAnsi="仿宋" w:eastAsia="仿宋" w:cs="宋体"/>
          <w:b/>
          <w:bCs/>
          <w:sz w:val="28"/>
          <w:szCs w:val="28"/>
        </w:rPr>
      </w:pPr>
      <w:r>
        <w:rPr>
          <w:rFonts w:hint="eastAsia" w:ascii="仿宋" w:hAnsi="仿宋" w:eastAsia="仿宋" w:cs="宋体"/>
          <w:b/>
          <w:bCs/>
          <w:sz w:val="28"/>
          <w:szCs w:val="28"/>
        </w:rPr>
        <w:t>承诺函</w:t>
      </w:r>
    </w:p>
    <w:p>
      <w:pPr>
        <w:adjustRightInd w:val="0"/>
        <w:snapToGrid w:val="0"/>
        <w:spacing w:line="360" w:lineRule="auto"/>
        <w:rPr>
          <w:rFonts w:ascii="仿宋" w:hAnsi="仿宋" w:eastAsia="仿宋" w:cs="宋体"/>
          <w:sz w:val="24"/>
        </w:rPr>
      </w:pPr>
      <w:r>
        <w:rPr>
          <w:rFonts w:hint="eastAsia" w:ascii="仿宋" w:hAnsi="仿宋" w:eastAsia="仿宋" w:cs="宋体"/>
          <w:sz w:val="24"/>
          <w:u w:val="single"/>
        </w:rPr>
        <w:t xml:space="preserve">致：       </w:t>
      </w:r>
      <w:r>
        <w:rPr>
          <w:rFonts w:hint="eastAsia" w:ascii="仿宋" w:hAnsi="仿宋" w:eastAsia="仿宋" w:cs="宋体"/>
          <w:sz w:val="24"/>
        </w:rPr>
        <w:t>（招标人名称）</w:t>
      </w:r>
    </w:p>
    <w:p>
      <w:pPr>
        <w:adjustRightInd w:val="0"/>
        <w:snapToGrid w:val="0"/>
        <w:spacing w:line="360" w:lineRule="auto"/>
        <w:ind w:firstLine="420"/>
        <w:rPr>
          <w:rFonts w:ascii="仿宋" w:hAnsi="仿宋" w:eastAsia="仿宋" w:cs="宋体"/>
          <w:sz w:val="24"/>
        </w:rPr>
      </w:pPr>
      <w:r>
        <w:rPr>
          <w:rFonts w:hint="eastAsia" w:ascii="仿宋" w:hAnsi="仿宋" w:eastAsia="仿宋" w:cs="宋体"/>
          <w:sz w:val="24"/>
        </w:rPr>
        <w:t>我单位承诺投标文件内所提供的所有证明材料均是真实有效的，绝无弄虚作假情形。我单位愿意承担因弄虚作假造成的所有法律后果，并愿意赔偿因此给招标人带来的一切损失。</w:t>
      </w:r>
    </w:p>
    <w:p>
      <w:pPr>
        <w:adjustRightInd w:val="0"/>
        <w:snapToGrid w:val="0"/>
        <w:spacing w:line="360" w:lineRule="auto"/>
        <w:ind w:firstLine="420" w:firstLineChars="175"/>
        <w:rPr>
          <w:rFonts w:ascii="仿宋" w:hAnsi="仿宋" w:eastAsia="仿宋" w:cs="宋体"/>
          <w:sz w:val="24"/>
        </w:rPr>
      </w:pPr>
      <w:r>
        <w:rPr>
          <w:rFonts w:hint="eastAsia" w:ascii="仿宋" w:hAnsi="仿宋" w:eastAsia="仿宋" w:cs="宋体"/>
          <w:sz w:val="24"/>
        </w:rPr>
        <w:t>我单位所提供的投标报价系考虑了所有成本、利润及风险的合理报价，如我公司有幸中标承担本项目的服务工作，我公司承诺在合同履约期限内不再以任何理由要求变更报价。</w:t>
      </w:r>
    </w:p>
    <w:p>
      <w:pPr>
        <w:adjustRightInd w:val="0"/>
        <w:snapToGrid w:val="0"/>
        <w:spacing w:line="360" w:lineRule="auto"/>
        <w:ind w:firstLine="420" w:firstLineChars="175"/>
        <w:rPr>
          <w:rFonts w:ascii="仿宋" w:hAnsi="仿宋" w:eastAsia="仿宋" w:cs="宋体"/>
          <w:sz w:val="24"/>
        </w:rPr>
      </w:pPr>
      <w:r>
        <w:rPr>
          <w:rFonts w:hint="eastAsia" w:ascii="仿宋" w:hAnsi="仿宋" w:eastAsia="仿宋" w:cs="宋体"/>
          <w:sz w:val="24"/>
        </w:rPr>
        <w:t>我单位已知悉并理解招标人不以最低投标价为中标价的唯一选择，并理解招标人有权不对招标结果做任何解释。</w:t>
      </w:r>
    </w:p>
    <w:p>
      <w:pPr>
        <w:adjustRightInd w:val="0"/>
        <w:snapToGrid w:val="0"/>
        <w:spacing w:line="360" w:lineRule="auto"/>
        <w:ind w:firstLine="420" w:firstLineChars="175"/>
        <w:rPr>
          <w:rFonts w:ascii="仿宋" w:hAnsi="仿宋" w:eastAsia="仿宋" w:cs="宋体"/>
          <w:sz w:val="24"/>
        </w:rPr>
      </w:pPr>
      <w:r>
        <w:rPr>
          <w:rFonts w:hint="eastAsia" w:ascii="仿宋" w:hAnsi="仿宋" w:eastAsia="仿宋" w:cs="宋体"/>
          <w:sz w:val="24"/>
        </w:rPr>
        <w:t>我单位明确知晓投标文件作为合同的组成部分，投标文件内所载明的所有内容均为我单位真实意愿，受法律约束。</w:t>
      </w:r>
    </w:p>
    <w:p>
      <w:pPr>
        <w:rPr>
          <w:rFonts w:ascii="仿宋" w:hAnsi="仿宋" w:eastAsia="仿宋" w:cs="宋体"/>
          <w:sz w:val="24"/>
        </w:rPr>
      </w:pPr>
    </w:p>
    <w:p>
      <w:pPr>
        <w:adjustRightInd w:val="0"/>
        <w:snapToGrid w:val="0"/>
        <w:spacing w:line="360" w:lineRule="auto"/>
        <w:ind w:firstLine="420" w:firstLineChars="175"/>
        <w:jc w:val="right"/>
        <w:rPr>
          <w:rFonts w:ascii="仿宋" w:hAnsi="仿宋" w:eastAsia="仿宋" w:cs="宋体"/>
          <w:sz w:val="24"/>
        </w:rPr>
      </w:pPr>
      <w:r>
        <w:rPr>
          <w:rFonts w:hint="eastAsia" w:ascii="仿宋" w:hAnsi="仿宋" w:eastAsia="仿宋" w:cs="宋体"/>
          <w:sz w:val="24"/>
        </w:rPr>
        <w:t>投标人：           （单位名称）</w:t>
      </w:r>
    </w:p>
    <w:p>
      <w:pPr>
        <w:adjustRightInd w:val="0"/>
        <w:snapToGrid w:val="0"/>
        <w:spacing w:line="360" w:lineRule="auto"/>
        <w:ind w:firstLine="420" w:firstLineChars="175"/>
        <w:jc w:val="right"/>
        <w:rPr>
          <w:rFonts w:ascii="仿宋" w:hAnsi="仿宋" w:eastAsia="仿宋" w:cs="宋体"/>
          <w:sz w:val="24"/>
        </w:rPr>
      </w:pPr>
      <w:r>
        <w:rPr>
          <w:rFonts w:hint="eastAsia" w:ascii="仿宋" w:hAnsi="仿宋" w:eastAsia="仿宋" w:cs="宋体"/>
          <w:sz w:val="24"/>
        </w:rPr>
        <w:t>日期： 年 月 日</w:t>
      </w:r>
    </w:p>
    <w:p>
      <w:pPr>
        <w:jc w:val="right"/>
        <w:rPr>
          <w:rFonts w:ascii="仿宋" w:hAnsi="仿宋" w:eastAsia="仿宋"/>
        </w:rPr>
      </w:pPr>
    </w:p>
    <w:p/>
    <w:p/>
    <w:p/>
    <w:p/>
    <w:p/>
    <w:p/>
    <w:p/>
    <w:p/>
    <w:p/>
    <w:p/>
    <w:p/>
    <w:p/>
    <w:p/>
    <w:p/>
    <w:p/>
    <w:p/>
    <w:p/>
    <w:p/>
    <w:p/>
    <w:p>
      <w:pPr>
        <w:pStyle w:val="2"/>
      </w:pPr>
      <w:bookmarkStart w:id="378" w:name="_Toc151390406"/>
      <w:r>
        <w:t>（八）</w:t>
      </w:r>
      <w:r>
        <w:rPr>
          <w:rFonts w:hint="eastAsia"/>
          <w:kern w:val="2"/>
          <w:sz w:val="24"/>
          <w:szCs w:val="24"/>
        </w:rPr>
        <w:t>投标人认为应补充的其他资料</w:t>
      </w:r>
      <w:bookmarkEnd w:id="378"/>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73</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27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仿宋_GB2312" w:eastAsia="仿宋_GB2312"/>
      </w:rPr>
    </w:pPr>
  </w:p>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81DE"/>
    <w:multiLevelType w:val="singleLevel"/>
    <w:tmpl w:val="8B2F81DE"/>
    <w:lvl w:ilvl="0" w:tentative="0">
      <w:start w:val="1"/>
      <w:numFmt w:val="chineseCounting"/>
      <w:suff w:val="nothing"/>
      <w:lvlText w:val="%1、"/>
      <w:lvlJc w:val="left"/>
      <w:pPr>
        <w:ind w:left="0" w:firstLine="420"/>
      </w:pPr>
      <w:rPr>
        <w:rFonts w:hint="eastAsia"/>
      </w:rPr>
    </w:lvl>
  </w:abstractNum>
  <w:abstractNum w:abstractNumId="1">
    <w:nsid w:val="AE74E3E1"/>
    <w:multiLevelType w:val="singleLevel"/>
    <w:tmpl w:val="AE74E3E1"/>
    <w:lvl w:ilvl="0" w:tentative="0">
      <w:start w:val="7"/>
      <w:numFmt w:val="decimal"/>
      <w:suff w:val="nothing"/>
      <w:lvlText w:val="%1、"/>
      <w:lvlJc w:val="left"/>
    </w:lvl>
  </w:abstractNum>
  <w:abstractNum w:abstractNumId="2">
    <w:nsid w:val="BE8B215D"/>
    <w:multiLevelType w:val="singleLevel"/>
    <w:tmpl w:val="BE8B215D"/>
    <w:lvl w:ilvl="0" w:tentative="0">
      <w:start w:val="1"/>
      <w:numFmt w:val="decimal"/>
      <w:lvlText w:val="(%1)"/>
      <w:lvlJc w:val="left"/>
      <w:pPr>
        <w:ind w:left="425" w:hanging="425"/>
      </w:pPr>
      <w:rPr>
        <w:rFonts w:hint="default"/>
      </w:rPr>
    </w:lvl>
  </w:abstractNum>
  <w:abstractNum w:abstractNumId="3">
    <w:nsid w:val="C238D02B"/>
    <w:multiLevelType w:val="singleLevel"/>
    <w:tmpl w:val="C238D02B"/>
    <w:lvl w:ilvl="0" w:tentative="0">
      <w:start w:val="1"/>
      <w:numFmt w:val="decimal"/>
      <w:lvlText w:val="(%1)"/>
      <w:lvlJc w:val="left"/>
      <w:pPr>
        <w:ind w:left="425" w:hanging="425"/>
      </w:pPr>
      <w:rPr>
        <w:rFonts w:hint="default"/>
      </w:rPr>
    </w:lvl>
  </w:abstractNum>
  <w:abstractNum w:abstractNumId="4">
    <w:nsid w:val="07144386"/>
    <w:multiLevelType w:val="multilevel"/>
    <w:tmpl w:val="07144386"/>
    <w:lvl w:ilvl="0" w:tentative="0">
      <w:start w:val="1"/>
      <w:numFmt w:val="decimal"/>
      <w:suff w:val="space"/>
      <w:lvlText w:val="%1  "/>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123"/>
      <w:suff w:val="space"/>
      <w:lvlText w:val="%1.%2.%3.%4"/>
      <w:lvlJc w:val="left"/>
      <w:pPr>
        <w:ind w:left="0" w:firstLine="0"/>
      </w:pPr>
      <w:rPr>
        <w:rFonts w:hint="eastAsia"/>
        <w:lang w:val="en-US"/>
      </w:rPr>
    </w:lvl>
    <w:lvl w:ilvl="4" w:tentative="0">
      <w:start w:val="1"/>
      <w:numFmt w:val="decimal"/>
      <w:pStyle w:val="120"/>
      <w:suff w:val="nothing"/>
      <w:lvlText w:val="（%5）"/>
      <w:lvlJc w:val="left"/>
      <w:pPr>
        <w:ind w:left="426" w:firstLine="0"/>
      </w:pPr>
      <w:rPr>
        <w:rFonts w:hint="default" w:ascii="Times New Roman" w:hAnsi="Times New Roman" w:eastAsia="宋体" w:cs="Times New Roman"/>
        <w:b w:val="0"/>
        <w:i w:val="0"/>
        <w:caps w:val="0"/>
        <w:strike w:val="0"/>
        <w:dstrike w:val="0"/>
        <w:vanish w:val="0"/>
        <w:sz w:val="24"/>
        <w:u w:val="none"/>
        <w:vertAlign w:val="baseline"/>
      </w:rPr>
    </w:lvl>
    <w:lvl w:ilvl="5" w:tentative="0">
      <w:start w:val="1"/>
      <w:numFmt w:val="decimalEnclosedCircle"/>
      <w:pStyle w:val="121"/>
      <w:suff w:val="space"/>
      <w:lvlText w:val="%6"/>
      <w:lvlJc w:val="left"/>
      <w:pPr>
        <w:ind w:left="0" w:firstLine="0"/>
      </w:pPr>
      <w:rPr>
        <w:rFonts w:hint="eastAsia"/>
      </w:rPr>
    </w:lvl>
    <w:lvl w:ilvl="6" w:tentative="0">
      <w:start w:val="1"/>
      <w:numFmt w:val="lowerLetter"/>
      <w:pStyle w:val="122"/>
      <w:suff w:val="space"/>
      <w:lvlText w:val="%7."/>
      <w:lvlJc w:val="left"/>
      <w:pPr>
        <w:ind w:left="0" w:firstLine="0"/>
      </w:pPr>
      <w:rPr>
        <w:rFonts w:hint="eastAsia"/>
      </w:rPr>
    </w:lvl>
    <w:lvl w:ilvl="7" w:tentative="0">
      <w:start w:val="1"/>
      <w:numFmt w:val="decimal"/>
      <w:suff w:val="nothing"/>
      <w:lvlText w:val="（%8）"/>
      <w:lvlJc w:val="left"/>
      <w:pPr>
        <w:ind w:left="0" w:firstLine="0"/>
      </w:pPr>
      <w:rPr>
        <w:rFonts w:hint="eastAsia"/>
      </w:rPr>
    </w:lvl>
    <w:lvl w:ilvl="8" w:tentative="0">
      <w:start w:val="1"/>
      <w:numFmt w:val="decimalEnclosedCircle"/>
      <w:suff w:val="nothing"/>
      <w:lvlText w:val="%9"/>
      <w:lvlJc w:val="left"/>
      <w:pPr>
        <w:ind w:left="0" w:firstLine="0"/>
      </w:pPr>
      <w:rPr>
        <w:rFonts w:hint="eastAsia"/>
      </w:rPr>
    </w:lvl>
  </w:abstractNum>
  <w:abstractNum w:abstractNumId="5">
    <w:nsid w:val="1FAE13E3"/>
    <w:multiLevelType w:val="multilevel"/>
    <w:tmpl w:val="1FAE13E3"/>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244A9"/>
    <w:multiLevelType w:val="multilevel"/>
    <w:tmpl w:val="440244A9"/>
    <w:lvl w:ilvl="0" w:tentative="0">
      <w:start w:val="7"/>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D8A9C0"/>
    <w:multiLevelType w:val="multilevel"/>
    <w:tmpl w:val="79D8A9C0"/>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zMWE5OTdlZThmY2FhYjQ5NjA0ZDkyYTYzZTljZGIifQ=="/>
  </w:docVars>
  <w:rsids>
    <w:rsidRoot w:val="00D013A9"/>
    <w:rsid w:val="0000059C"/>
    <w:rsid w:val="000006F2"/>
    <w:rsid w:val="000013C1"/>
    <w:rsid w:val="0000178F"/>
    <w:rsid w:val="00001D00"/>
    <w:rsid w:val="000024B6"/>
    <w:rsid w:val="0000302C"/>
    <w:rsid w:val="000046F5"/>
    <w:rsid w:val="00004800"/>
    <w:rsid w:val="000055BE"/>
    <w:rsid w:val="000058FC"/>
    <w:rsid w:val="00005BAA"/>
    <w:rsid w:val="00006800"/>
    <w:rsid w:val="0000727C"/>
    <w:rsid w:val="000072BE"/>
    <w:rsid w:val="00007319"/>
    <w:rsid w:val="00010768"/>
    <w:rsid w:val="00011BCC"/>
    <w:rsid w:val="00012195"/>
    <w:rsid w:val="0001318A"/>
    <w:rsid w:val="000132E5"/>
    <w:rsid w:val="0001372C"/>
    <w:rsid w:val="000137C9"/>
    <w:rsid w:val="00013AC6"/>
    <w:rsid w:val="00014368"/>
    <w:rsid w:val="000143CE"/>
    <w:rsid w:val="00014719"/>
    <w:rsid w:val="00014E22"/>
    <w:rsid w:val="0001523F"/>
    <w:rsid w:val="00015961"/>
    <w:rsid w:val="00016D5A"/>
    <w:rsid w:val="00020F6A"/>
    <w:rsid w:val="00022574"/>
    <w:rsid w:val="00022DF6"/>
    <w:rsid w:val="0002359C"/>
    <w:rsid w:val="00023A1A"/>
    <w:rsid w:val="00023B4E"/>
    <w:rsid w:val="00023D6C"/>
    <w:rsid w:val="0002422D"/>
    <w:rsid w:val="00024ADA"/>
    <w:rsid w:val="0002591F"/>
    <w:rsid w:val="00026459"/>
    <w:rsid w:val="00026BD0"/>
    <w:rsid w:val="000275A2"/>
    <w:rsid w:val="000306B8"/>
    <w:rsid w:val="00030F6F"/>
    <w:rsid w:val="000313F9"/>
    <w:rsid w:val="0003166A"/>
    <w:rsid w:val="00031EC3"/>
    <w:rsid w:val="00031EDC"/>
    <w:rsid w:val="00031FFA"/>
    <w:rsid w:val="000321D9"/>
    <w:rsid w:val="0003285B"/>
    <w:rsid w:val="000328E5"/>
    <w:rsid w:val="00032D41"/>
    <w:rsid w:val="00033B79"/>
    <w:rsid w:val="000354D4"/>
    <w:rsid w:val="00035B8C"/>
    <w:rsid w:val="00035F35"/>
    <w:rsid w:val="00036EB9"/>
    <w:rsid w:val="00040704"/>
    <w:rsid w:val="00040C9F"/>
    <w:rsid w:val="00041BE9"/>
    <w:rsid w:val="000422BF"/>
    <w:rsid w:val="000422CC"/>
    <w:rsid w:val="0004253A"/>
    <w:rsid w:val="0004362A"/>
    <w:rsid w:val="00043DFA"/>
    <w:rsid w:val="00044C95"/>
    <w:rsid w:val="00044D8C"/>
    <w:rsid w:val="00045B9B"/>
    <w:rsid w:val="0004601A"/>
    <w:rsid w:val="00046774"/>
    <w:rsid w:val="0004732B"/>
    <w:rsid w:val="000512AB"/>
    <w:rsid w:val="000518FC"/>
    <w:rsid w:val="00052C7C"/>
    <w:rsid w:val="000554DC"/>
    <w:rsid w:val="00055EEA"/>
    <w:rsid w:val="00056549"/>
    <w:rsid w:val="000573FB"/>
    <w:rsid w:val="000578A7"/>
    <w:rsid w:val="00060EC7"/>
    <w:rsid w:val="00061BD6"/>
    <w:rsid w:val="0006204B"/>
    <w:rsid w:val="00062B89"/>
    <w:rsid w:val="00062CE3"/>
    <w:rsid w:val="000632EA"/>
    <w:rsid w:val="00063313"/>
    <w:rsid w:val="000638D8"/>
    <w:rsid w:val="00063A1F"/>
    <w:rsid w:val="00064CA5"/>
    <w:rsid w:val="00064CEB"/>
    <w:rsid w:val="00065A94"/>
    <w:rsid w:val="00066586"/>
    <w:rsid w:val="00066733"/>
    <w:rsid w:val="00066790"/>
    <w:rsid w:val="000668CB"/>
    <w:rsid w:val="00066CD7"/>
    <w:rsid w:val="00066E31"/>
    <w:rsid w:val="00066E7E"/>
    <w:rsid w:val="00067724"/>
    <w:rsid w:val="00067FAA"/>
    <w:rsid w:val="0007170C"/>
    <w:rsid w:val="00072579"/>
    <w:rsid w:val="000737E9"/>
    <w:rsid w:val="00074D29"/>
    <w:rsid w:val="000755B1"/>
    <w:rsid w:val="00075DD3"/>
    <w:rsid w:val="00076B28"/>
    <w:rsid w:val="00077E1F"/>
    <w:rsid w:val="00081B26"/>
    <w:rsid w:val="00081B7F"/>
    <w:rsid w:val="00081E09"/>
    <w:rsid w:val="00082EA4"/>
    <w:rsid w:val="00083683"/>
    <w:rsid w:val="00083B15"/>
    <w:rsid w:val="00083D3F"/>
    <w:rsid w:val="0008475F"/>
    <w:rsid w:val="000849AE"/>
    <w:rsid w:val="00090941"/>
    <w:rsid w:val="0009101D"/>
    <w:rsid w:val="00092196"/>
    <w:rsid w:val="000921C4"/>
    <w:rsid w:val="0009269C"/>
    <w:rsid w:val="00093169"/>
    <w:rsid w:val="00093496"/>
    <w:rsid w:val="000937EE"/>
    <w:rsid w:val="00093FE7"/>
    <w:rsid w:val="00094006"/>
    <w:rsid w:val="00094A4C"/>
    <w:rsid w:val="00094A65"/>
    <w:rsid w:val="00095814"/>
    <w:rsid w:val="00095C2E"/>
    <w:rsid w:val="0009618D"/>
    <w:rsid w:val="0009632C"/>
    <w:rsid w:val="00096A8C"/>
    <w:rsid w:val="00096C3D"/>
    <w:rsid w:val="00097DD6"/>
    <w:rsid w:val="000A0022"/>
    <w:rsid w:val="000A052D"/>
    <w:rsid w:val="000A06B2"/>
    <w:rsid w:val="000A10D6"/>
    <w:rsid w:val="000A1690"/>
    <w:rsid w:val="000A1CB9"/>
    <w:rsid w:val="000A1E3C"/>
    <w:rsid w:val="000A207F"/>
    <w:rsid w:val="000A2425"/>
    <w:rsid w:val="000A26B3"/>
    <w:rsid w:val="000A278E"/>
    <w:rsid w:val="000A2913"/>
    <w:rsid w:val="000A34A4"/>
    <w:rsid w:val="000A5A10"/>
    <w:rsid w:val="000A661C"/>
    <w:rsid w:val="000A7357"/>
    <w:rsid w:val="000A7C6A"/>
    <w:rsid w:val="000B11BF"/>
    <w:rsid w:val="000B2243"/>
    <w:rsid w:val="000B25F6"/>
    <w:rsid w:val="000B3031"/>
    <w:rsid w:val="000B4254"/>
    <w:rsid w:val="000B443F"/>
    <w:rsid w:val="000B477F"/>
    <w:rsid w:val="000B4C59"/>
    <w:rsid w:val="000B4F02"/>
    <w:rsid w:val="000B4FE2"/>
    <w:rsid w:val="000B53A2"/>
    <w:rsid w:val="000B62D1"/>
    <w:rsid w:val="000B6745"/>
    <w:rsid w:val="000B7412"/>
    <w:rsid w:val="000B76E1"/>
    <w:rsid w:val="000B7AA3"/>
    <w:rsid w:val="000B7C04"/>
    <w:rsid w:val="000C06FB"/>
    <w:rsid w:val="000C0E4D"/>
    <w:rsid w:val="000C2286"/>
    <w:rsid w:val="000C2495"/>
    <w:rsid w:val="000C2B25"/>
    <w:rsid w:val="000C40C0"/>
    <w:rsid w:val="000C4F80"/>
    <w:rsid w:val="000C538E"/>
    <w:rsid w:val="000C5446"/>
    <w:rsid w:val="000C6D8E"/>
    <w:rsid w:val="000C746B"/>
    <w:rsid w:val="000D0561"/>
    <w:rsid w:val="000D365F"/>
    <w:rsid w:val="000D38CE"/>
    <w:rsid w:val="000D3B6C"/>
    <w:rsid w:val="000D45E9"/>
    <w:rsid w:val="000D475D"/>
    <w:rsid w:val="000D484E"/>
    <w:rsid w:val="000D5AE8"/>
    <w:rsid w:val="000D7687"/>
    <w:rsid w:val="000D7B82"/>
    <w:rsid w:val="000E0058"/>
    <w:rsid w:val="000E0AEA"/>
    <w:rsid w:val="000E0BBE"/>
    <w:rsid w:val="000E137E"/>
    <w:rsid w:val="000E1811"/>
    <w:rsid w:val="000E1B6B"/>
    <w:rsid w:val="000E2704"/>
    <w:rsid w:val="000E3311"/>
    <w:rsid w:val="000E377D"/>
    <w:rsid w:val="000E44EF"/>
    <w:rsid w:val="000E589E"/>
    <w:rsid w:val="000E6038"/>
    <w:rsid w:val="000E64FE"/>
    <w:rsid w:val="000E71E8"/>
    <w:rsid w:val="000E767C"/>
    <w:rsid w:val="000F163E"/>
    <w:rsid w:val="000F1E75"/>
    <w:rsid w:val="000F2BA6"/>
    <w:rsid w:val="000F344F"/>
    <w:rsid w:val="000F37FE"/>
    <w:rsid w:val="000F45AE"/>
    <w:rsid w:val="000F4BF1"/>
    <w:rsid w:val="000F4D64"/>
    <w:rsid w:val="000F5AEE"/>
    <w:rsid w:val="000F602E"/>
    <w:rsid w:val="000F675F"/>
    <w:rsid w:val="000F6EC9"/>
    <w:rsid w:val="00100C4A"/>
    <w:rsid w:val="00100CA4"/>
    <w:rsid w:val="0010134E"/>
    <w:rsid w:val="00102467"/>
    <w:rsid w:val="001024B3"/>
    <w:rsid w:val="00102737"/>
    <w:rsid w:val="00102F52"/>
    <w:rsid w:val="00103884"/>
    <w:rsid w:val="00105351"/>
    <w:rsid w:val="00105AD2"/>
    <w:rsid w:val="00105BD6"/>
    <w:rsid w:val="00106659"/>
    <w:rsid w:val="0010733E"/>
    <w:rsid w:val="001075C0"/>
    <w:rsid w:val="00107AC3"/>
    <w:rsid w:val="00107CDA"/>
    <w:rsid w:val="00107DA6"/>
    <w:rsid w:val="00110E29"/>
    <w:rsid w:val="001113F3"/>
    <w:rsid w:val="0011155D"/>
    <w:rsid w:val="00111564"/>
    <w:rsid w:val="0011178F"/>
    <w:rsid w:val="0011328F"/>
    <w:rsid w:val="001136FB"/>
    <w:rsid w:val="0011398E"/>
    <w:rsid w:val="0011463C"/>
    <w:rsid w:val="0011474D"/>
    <w:rsid w:val="001152F4"/>
    <w:rsid w:val="001161A4"/>
    <w:rsid w:val="0011630F"/>
    <w:rsid w:val="001204DD"/>
    <w:rsid w:val="001228E0"/>
    <w:rsid w:val="00122993"/>
    <w:rsid w:val="00122999"/>
    <w:rsid w:val="00122B1A"/>
    <w:rsid w:val="00123449"/>
    <w:rsid w:val="0012396D"/>
    <w:rsid w:val="00123F2C"/>
    <w:rsid w:val="00124028"/>
    <w:rsid w:val="001254CC"/>
    <w:rsid w:val="00125A9A"/>
    <w:rsid w:val="00126CEE"/>
    <w:rsid w:val="00127B6C"/>
    <w:rsid w:val="0013142E"/>
    <w:rsid w:val="001316A1"/>
    <w:rsid w:val="001325B9"/>
    <w:rsid w:val="00132C90"/>
    <w:rsid w:val="0013334E"/>
    <w:rsid w:val="001335A1"/>
    <w:rsid w:val="001336F2"/>
    <w:rsid w:val="0013384D"/>
    <w:rsid w:val="001342BB"/>
    <w:rsid w:val="00134FC4"/>
    <w:rsid w:val="00135AD4"/>
    <w:rsid w:val="00136005"/>
    <w:rsid w:val="001365FA"/>
    <w:rsid w:val="00136A97"/>
    <w:rsid w:val="00136BBA"/>
    <w:rsid w:val="00140B2D"/>
    <w:rsid w:val="00140F0A"/>
    <w:rsid w:val="0014162F"/>
    <w:rsid w:val="00144043"/>
    <w:rsid w:val="00144120"/>
    <w:rsid w:val="00144307"/>
    <w:rsid w:val="00144AA1"/>
    <w:rsid w:val="00145133"/>
    <w:rsid w:val="00145596"/>
    <w:rsid w:val="00146038"/>
    <w:rsid w:val="001462FE"/>
    <w:rsid w:val="001469A0"/>
    <w:rsid w:val="001470C8"/>
    <w:rsid w:val="001474C5"/>
    <w:rsid w:val="001500E0"/>
    <w:rsid w:val="0015086C"/>
    <w:rsid w:val="00150ED6"/>
    <w:rsid w:val="001512DC"/>
    <w:rsid w:val="0015130D"/>
    <w:rsid w:val="0015289E"/>
    <w:rsid w:val="00152BB2"/>
    <w:rsid w:val="00152DB4"/>
    <w:rsid w:val="00154A5E"/>
    <w:rsid w:val="00155964"/>
    <w:rsid w:val="00155E4D"/>
    <w:rsid w:val="00156042"/>
    <w:rsid w:val="001568CE"/>
    <w:rsid w:val="00156AA8"/>
    <w:rsid w:val="001601ED"/>
    <w:rsid w:val="0016160A"/>
    <w:rsid w:val="00161E34"/>
    <w:rsid w:val="00161F6F"/>
    <w:rsid w:val="00162ADB"/>
    <w:rsid w:val="001632FC"/>
    <w:rsid w:val="00163B26"/>
    <w:rsid w:val="001640A6"/>
    <w:rsid w:val="001660BC"/>
    <w:rsid w:val="0017018F"/>
    <w:rsid w:val="001705DF"/>
    <w:rsid w:val="00170BB3"/>
    <w:rsid w:val="0017127F"/>
    <w:rsid w:val="001714B2"/>
    <w:rsid w:val="0017189A"/>
    <w:rsid w:val="00171E85"/>
    <w:rsid w:val="0017272E"/>
    <w:rsid w:val="001729A6"/>
    <w:rsid w:val="00173620"/>
    <w:rsid w:val="001738D7"/>
    <w:rsid w:val="0017481D"/>
    <w:rsid w:val="00174CF7"/>
    <w:rsid w:val="00174E03"/>
    <w:rsid w:val="00175B6E"/>
    <w:rsid w:val="00176794"/>
    <w:rsid w:val="00177EA6"/>
    <w:rsid w:val="00180DAB"/>
    <w:rsid w:val="00180ECB"/>
    <w:rsid w:val="0018170A"/>
    <w:rsid w:val="0018182B"/>
    <w:rsid w:val="0018263D"/>
    <w:rsid w:val="00182ABA"/>
    <w:rsid w:val="0018349B"/>
    <w:rsid w:val="0018384F"/>
    <w:rsid w:val="00183CCF"/>
    <w:rsid w:val="00183D24"/>
    <w:rsid w:val="00184353"/>
    <w:rsid w:val="00184ADF"/>
    <w:rsid w:val="0018511C"/>
    <w:rsid w:val="0018534E"/>
    <w:rsid w:val="0018628C"/>
    <w:rsid w:val="001862A0"/>
    <w:rsid w:val="0018630D"/>
    <w:rsid w:val="00186D49"/>
    <w:rsid w:val="0018721E"/>
    <w:rsid w:val="00187695"/>
    <w:rsid w:val="00191DF1"/>
    <w:rsid w:val="00192320"/>
    <w:rsid w:val="00193D27"/>
    <w:rsid w:val="0019468A"/>
    <w:rsid w:val="00194BC3"/>
    <w:rsid w:val="00194D6E"/>
    <w:rsid w:val="00195821"/>
    <w:rsid w:val="00195C9C"/>
    <w:rsid w:val="00195F8E"/>
    <w:rsid w:val="00197732"/>
    <w:rsid w:val="001A0C0C"/>
    <w:rsid w:val="001A0D2A"/>
    <w:rsid w:val="001A21FB"/>
    <w:rsid w:val="001A2268"/>
    <w:rsid w:val="001A2564"/>
    <w:rsid w:val="001A296A"/>
    <w:rsid w:val="001A2E3E"/>
    <w:rsid w:val="001A3145"/>
    <w:rsid w:val="001A3806"/>
    <w:rsid w:val="001A450C"/>
    <w:rsid w:val="001A47D2"/>
    <w:rsid w:val="001A4D65"/>
    <w:rsid w:val="001A4F89"/>
    <w:rsid w:val="001A4FF7"/>
    <w:rsid w:val="001A5DE4"/>
    <w:rsid w:val="001A625A"/>
    <w:rsid w:val="001A6646"/>
    <w:rsid w:val="001A6733"/>
    <w:rsid w:val="001A680B"/>
    <w:rsid w:val="001A7396"/>
    <w:rsid w:val="001A74DC"/>
    <w:rsid w:val="001A76D6"/>
    <w:rsid w:val="001A7FAF"/>
    <w:rsid w:val="001B0982"/>
    <w:rsid w:val="001B1219"/>
    <w:rsid w:val="001B130B"/>
    <w:rsid w:val="001B188A"/>
    <w:rsid w:val="001B1E28"/>
    <w:rsid w:val="001B23B1"/>
    <w:rsid w:val="001B2857"/>
    <w:rsid w:val="001B2B17"/>
    <w:rsid w:val="001B3DE1"/>
    <w:rsid w:val="001B6012"/>
    <w:rsid w:val="001B6058"/>
    <w:rsid w:val="001B7086"/>
    <w:rsid w:val="001B730D"/>
    <w:rsid w:val="001B7B61"/>
    <w:rsid w:val="001C0A18"/>
    <w:rsid w:val="001C17C0"/>
    <w:rsid w:val="001C1BC0"/>
    <w:rsid w:val="001C2702"/>
    <w:rsid w:val="001C31AA"/>
    <w:rsid w:val="001C3349"/>
    <w:rsid w:val="001C3DBE"/>
    <w:rsid w:val="001C437D"/>
    <w:rsid w:val="001C5D53"/>
    <w:rsid w:val="001C5DAE"/>
    <w:rsid w:val="001C60DA"/>
    <w:rsid w:val="001C6884"/>
    <w:rsid w:val="001C6EEB"/>
    <w:rsid w:val="001C70F8"/>
    <w:rsid w:val="001C72F1"/>
    <w:rsid w:val="001D1A7A"/>
    <w:rsid w:val="001D1CE4"/>
    <w:rsid w:val="001D2094"/>
    <w:rsid w:val="001D2701"/>
    <w:rsid w:val="001D384C"/>
    <w:rsid w:val="001D45C7"/>
    <w:rsid w:val="001D45E6"/>
    <w:rsid w:val="001D4B27"/>
    <w:rsid w:val="001D4F44"/>
    <w:rsid w:val="001D505B"/>
    <w:rsid w:val="001D650C"/>
    <w:rsid w:val="001D7117"/>
    <w:rsid w:val="001E09CE"/>
    <w:rsid w:val="001E0BBB"/>
    <w:rsid w:val="001E1DB5"/>
    <w:rsid w:val="001E1F25"/>
    <w:rsid w:val="001E231C"/>
    <w:rsid w:val="001E265D"/>
    <w:rsid w:val="001E288D"/>
    <w:rsid w:val="001E32E5"/>
    <w:rsid w:val="001E3AA5"/>
    <w:rsid w:val="001E42CB"/>
    <w:rsid w:val="001E4BF7"/>
    <w:rsid w:val="001E4FA8"/>
    <w:rsid w:val="001E5AC6"/>
    <w:rsid w:val="001E65CB"/>
    <w:rsid w:val="001E699A"/>
    <w:rsid w:val="001E7368"/>
    <w:rsid w:val="001E7DA5"/>
    <w:rsid w:val="001F00D4"/>
    <w:rsid w:val="001F0ABE"/>
    <w:rsid w:val="001F0B9E"/>
    <w:rsid w:val="001F1046"/>
    <w:rsid w:val="001F1784"/>
    <w:rsid w:val="001F22F3"/>
    <w:rsid w:val="001F325C"/>
    <w:rsid w:val="001F38AC"/>
    <w:rsid w:val="001F4B9D"/>
    <w:rsid w:val="001F5045"/>
    <w:rsid w:val="001F5271"/>
    <w:rsid w:val="001F545E"/>
    <w:rsid w:val="001F55CF"/>
    <w:rsid w:val="001F6616"/>
    <w:rsid w:val="001F6B18"/>
    <w:rsid w:val="001F6D9F"/>
    <w:rsid w:val="001F76CA"/>
    <w:rsid w:val="001F77FC"/>
    <w:rsid w:val="002017E9"/>
    <w:rsid w:val="00201ED6"/>
    <w:rsid w:val="00201F8A"/>
    <w:rsid w:val="00202066"/>
    <w:rsid w:val="002032A8"/>
    <w:rsid w:val="00203769"/>
    <w:rsid w:val="00203CAC"/>
    <w:rsid w:val="002047CB"/>
    <w:rsid w:val="002051CC"/>
    <w:rsid w:val="00205211"/>
    <w:rsid w:val="00206915"/>
    <w:rsid w:val="00206942"/>
    <w:rsid w:val="00206CBB"/>
    <w:rsid w:val="00207476"/>
    <w:rsid w:val="0020770F"/>
    <w:rsid w:val="002079B5"/>
    <w:rsid w:val="00212553"/>
    <w:rsid w:val="002128EA"/>
    <w:rsid w:val="00212C32"/>
    <w:rsid w:val="00212D93"/>
    <w:rsid w:val="00212E73"/>
    <w:rsid w:val="00212F46"/>
    <w:rsid w:val="0021393D"/>
    <w:rsid w:val="00213DB7"/>
    <w:rsid w:val="0021417B"/>
    <w:rsid w:val="00217275"/>
    <w:rsid w:val="00217817"/>
    <w:rsid w:val="00220CBF"/>
    <w:rsid w:val="00223123"/>
    <w:rsid w:val="00223193"/>
    <w:rsid w:val="00224284"/>
    <w:rsid w:val="00224F72"/>
    <w:rsid w:val="00225EF0"/>
    <w:rsid w:val="002268C0"/>
    <w:rsid w:val="00227F06"/>
    <w:rsid w:val="002300A8"/>
    <w:rsid w:val="00230624"/>
    <w:rsid w:val="00230B81"/>
    <w:rsid w:val="00231141"/>
    <w:rsid w:val="00231784"/>
    <w:rsid w:val="00232302"/>
    <w:rsid w:val="002329B1"/>
    <w:rsid w:val="00234559"/>
    <w:rsid w:val="00234916"/>
    <w:rsid w:val="00235F7A"/>
    <w:rsid w:val="00236893"/>
    <w:rsid w:val="00237ACA"/>
    <w:rsid w:val="00237CD8"/>
    <w:rsid w:val="00240783"/>
    <w:rsid w:val="002414E3"/>
    <w:rsid w:val="00241E56"/>
    <w:rsid w:val="00242B2E"/>
    <w:rsid w:val="00243198"/>
    <w:rsid w:val="002433A1"/>
    <w:rsid w:val="0024384D"/>
    <w:rsid w:val="002452BC"/>
    <w:rsid w:val="002452EA"/>
    <w:rsid w:val="00245594"/>
    <w:rsid w:val="00245F75"/>
    <w:rsid w:val="00246196"/>
    <w:rsid w:val="00246D75"/>
    <w:rsid w:val="00247388"/>
    <w:rsid w:val="00247B26"/>
    <w:rsid w:val="00250FA3"/>
    <w:rsid w:val="0025128A"/>
    <w:rsid w:val="002528C3"/>
    <w:rsid w:val="00252970"/>
    <w:rsid w:val="00253182"/>
    <w:rsid w:val="0025343E"/>
    <w:rsid w:val="00253B3B"/>
    <w:rsid w:val="00253D71"/>
    <w:rsid w:val="00254488"/>
    <w:rsid w:val="00254B0F"/>
    <w:rsid w:val="00254F44"/>
    <w:rsid w:val="00255396"/>
    <w:rsid w:val="002559F6"/>
    <w:rsid w:val="00257997"/>
    <w:rsid w:val="002609BA"/>
    <w:rsid w:val="00261851"/>
    <w:rsid w:val="0026375E"/>
    <w:rsid w:val="00263871"/>
    <w:rsid w:val="00263BCA"/>
    <w:rsid w:val="002660E1"/>
    <w:rsid w:val="0026678C"/>
    <w:rsid w:val="00270C22"/>
    <w:rsid w:val="00270D10"/>
    <w:rsid w:val="0027181D"/>
    <w:rsid w:val="00272463"/>
    <w:rsid w:val="0027317D"/>
    <w:rsid w:val="00274489"/>
    <w:rsid w:val="00274F38"/>
    <w:rsid w:val="00275F04"/>
    <w:rsid w:val="00275F72"/>
    <w:rsid w:val="002805B0"/>
    <w:rsid w:val="002805EC"/>
    <w:rsid w:val="0028071B"/>
    <w:rsid w:val="002807FE"/>
    <w:rsid w:val="00280B56"/>
    <w:rsid w:val="00280E61"/>
    <w:rsid w:val="00281263"/>
    <w:rsid w:val="00281C5D"/>
    <w:rsid w:val="00282C50"/>
    <w:rsid w:val="00283D12"/>
    <w:rsid w:val="0028415A"/>
    <w:rsid w:val="002851F9"/>
    <w:rsid w:val="00285728"/>
    <w:rsid w:val="00285EF5"/>
    <w:rsid w:val="00286358"/>
    <w:rsid w:val="002866F4"/>
    <w:rsid w:val="00286F97"/>
    <w:rsid w:val="00287DEB"/>
    <w:rsid w:val="00291C4E"/>
    <w:rsid w:val="002938D0"/>
    <w:rsid w:val="00295CB2"/>
    <w:rsid w:val="0029614A"/>
    <w:rsid w:val="002A032C"/>
    <w:rsid w:val="002A0E1E"/>
    <w:rsid w:val="002A24B8"/>
    <w:rsid w:val="002A24C7"/>
    <w:rsid w:val="002A2A7D"/>
    <w:rsid w:val="002A2EBF"/>
    <w:rsid w:val="002A4AF1"/>
    <w:rsid w:val="002A4CE4"/>
    <w:rsid w:val="002A5426"/>
    <w:rsid w:val="002A60FF"/>
    <w:rsid w:val="002A61BF"/>
    <w:rsid w:val="002B1A48"/>
    <w:rsid w:val="002B21A2"/>
    <w:rsid w:val="002B3097"/>
    <w:rsid w:val="002B49FA"/>
    <w:rsid w:val="002B4BC7"/>
    <w:rsid w:val="002B4CEE"/>
    <w:rsid w:val="002B5273"/>
    <w:rsid w:val="002B5FF6"/>
    <w:rsid w:val="002B63FD"/>
    <w:rsid w:val="002B6F44"/>
    <w:rsid w:val="002C2D6F"/>
    <w:rsid w:val="002C4D2B"/>
    <w:rsid w:val="002C59E5"/>
    <w:rsid w:val="002C67DF"/>
    <w:rsid w:val="002C6CE8"/>
    <w:rsid w:val="002C6F18"/>
    <w:rsid w:val="002C74EA"/>
    <w:rsid w:val="002C7F54"/>
    <w:rsid w:val="002D0D35"/>
    <w:rsid w:val="002D3BB6"/>
    <w:rsid w:val="002D4154"/>
    <w:rsid w:val="002D44D0"/>
    <w:rsid w:val="002D4C0D"/>
    <w:rsid w:val="002D517F"/>
    <w:rsid w:val="002D7B5A"/>
    <w:rsid w:val="002D7FD1"/>
    <w:rsid w:val="002E0EAE"/>
    <w:rsid w:val="002E0EB3"/>
    <w:rsid w:val="002E18C2"/>
    <w:rsid w:val="002E1C09"/>
    <w:rsid w:val="002E2CBD"/>
    <w:rsid w:val="002E32FD"/>
    <w:rsid w:val="002E3424"/>
    <w:rsid w:val="002E37D9"/>
    <w:rsid w:val="002E3FA8"/>
    <w:rsid w:val="002E42CA"/>
    <w:rsid w:val="002E4AFA"/>
    <w:rsid w:val="002E568C"/>
    <w:rsid w:val="002E56E2"/>
    <w:rsid w:val="002E5991"/>
    <w:rsid w:val="002E59E6"/>
    <w:rsid w:val="002E6032"/>
    <w:rsid w:val="002E651C"/>
    <w:rsid w:val="002E6B26"/>
    <w:rsid w:val="002E7096"/>
    <w:rsid w:val="002E79DA"/>
    <w:rsid w:val="002F0A95"/>
    <w:rsid w:val="002F0BD5"/>
    <w:rsid w:val="002F0FD2"/>
    <w:rsid w:val="002F104D"/>
    <w:rsid w:val="002F1258"/>
    <w:rsid w:val="002F1471"/>
    <w:rsid w:val="002F22E7"/>
    <w:rsid w:val="002F24FC"/>
    <w:rsid w:val="002F277B"/>
    <w:rsid w:val="002F34F2"/>
    <w:rsid w:val="002F36F5"/>
    <w:rsid w:val="002F3811"/>
    <w:rsid w:val="002F3BBA"/>
    <w:rsid w:val="002F409F"/>
    <w:rsid w:val="002F44C8"/>
    <w:rsid w:val="002F4EFC"/>
    <w:rsid w:val="002F51BB"/>
    <w:rsid w:val="002F5AF5"/>
    <w:rsid w:val="002F5FE1"/>
    <w:rsid w:val="002F6133"/>
    <w:rsid w:val="002F656F"/>
    <w:rsid w:val="002F7394"/>
    <w:rsid w:val="002F7993"/>
    <w:rsid w:val="002F7AF1"/>
    <w:rsid w:val="00300419"/>
    <w:rsid w:val="00301138"/>
    <w:rsid w:val="0030200E"/>
    <w:rsid w:val="0030228B"/>
    <w:rsid w:val="00302775"/>
    <w:rsid w:val="00302FDF"/>
    <w:rsid w:val="00303A26"/>
    <w:rsid w:val="00303D1C"/>
    <w:rsid w:val="00304240"/>
    <w:rsid w:val="00305477"/>
    <w:rsid w:val="003055DF"/>
    <w:rsid w:val="00305B55"/>
    <w:rsid w:val="003069C8"/>
    <w:rsid w:val="00306CB8"/>
    <w:rsid w:val="003076EC"/>
    <w:rsid w:val="00307787"/>
    <w:rsid w:val="00310F86"/>
    <w:rsid w:val="00312091"/>
    <w:rsid w:val="003121DA"/>
    <w:rsid w:val="003124BF"/>
    <w:rsid w:val="00312701"/>
    <w:rsid w:val="00316779"/>
    <w:rsid w:val="00316A9B"/>
    <w:rsid w:val="00317240"/>
    <w:rsid w:val="003177EC"/>
    <w:rsid w:val="00317AEE"/>
    <w:rsid w:val="00317DDD"/>
    <w:rsid w:val="00322D00"/>
    <w:rsid w:val="00322FBB"/>
    <w:rsid w:val="0032349F"/>
    <w:rsid w:val="00324113"/>
    <w:rsid w:val="00325825"/>
    <w:rsid w:val="0032766A"/>
    <w:rsid w:val="00327F62"/>
    <w:rsid w:val="00330DEF"/>
    <w:rsid w:val="0033126B"/>
    <w:rsid w:val="003322BE"/>
    <w:rsid w:val="00332303"/>
    <w:rsid w:val="00333C49"/>
    <w:rsid w:val="00333FCF"/>
    <w:rsid w:val="00334509"/>
    <w:rsid w:val="00334985"/>
    <w:rsid w:val="00336B30"/>
    <w:rsid w:val="0033758F"/>
    <w:rsid w:val="00340EA3"/>
    <w:rsid w:val="003417A5"/>
    <w:rsid w:val="00341BB1"/>
    <w:rsid w:val="00342D50"/>
    <w:rsid w:val="00342E3F"/>
    <w:rsid w:val="0034402F"/>
    <w:rsid w:val="0034742D"/>
    <w:rsid w:val="003479F0"/>
    <w:rsid w:val="003519CB"/>
    <w:rsid w:val="003520DF"/>
    <w:rsid w:val="0035217A"/>
    <w:rsid w:val="003533C0"/>
    <w:rsid w:val="003558E0"/>
    <w:rsid w:val="00357171"/>
    <w:rsid w:val="0036131B"/>
    <w:rsid w:val="0036142C"/>
    <w:rsid w:val="00362B7D"/>
    <w:rsid w:val="00362BC3"/>
    <w:rsid w:val="0036378C"/>
    <w:rsid w:val="00363FB8"/>
    <w:rsid w:val="00364002"/>
    <w:rsid w:val="00364077"/>
    <w:rsid w:val="003650FD"/>
    <w:rsid w:val="00366548"/>
    <w:rsid w:val="00366FF4"/>
    <w:rsid w:val="003671C0"/>
    <w:rsid w:val="00367461"/>
    <w:rsid w:val="00370267"/>
    <w:rsid w:val="003712DC"/>
    <w:rsid w:val="00371328"/>
    <w:rsid w:val="003714EC"/>
    <w:rsid w:val="00371A6B"/>
    <w:rsid w:val="00371ACB"/>
    <w:rsid w:val="00371FAA"/>
    <w:rsid w:val="0037220B"/>
    <w:rsid w:val="003724A0"/>
    <w:rsid w:val="00372AEB"/>
    <w:rsid w:val="00372FDF"/>
    <w:rsid w:val="00375A6F"/>
    <w:rsid w:val="00375C67"/>
    <w:rsid w:val="00380448"/>
    <w:rsid w:val="003804D2"/>
    <w:rsid w:val="0038144F"/>
    <w:rsid w:val="0038168D"/>
    <w:rsid w:val="00381EFB"/>
    <w:rsid w:val="0038279A"/>
    <w:rsid w:val="0038283E"/>
    <w:rsid w:val="00382BA4"/>
    <w:rsid w:val="00382E9C"/>
    <w:rsid w:val="0038318B"/>
    <w:rsid w:val="00384707"/>
    <w:rsid w:val="00384AD6"/>
    <w:rsid w:val="003850A4"/>
    <w:rsid w:val="00385301"/>
    <w:rsid w:val="00386353"/>
    <w:rsid w:val="00386B38"/>
    <w:rsid w:val="003901A6"/>
    <w:rsid w:val="00390D97"/>
    <w:rsid w:val="003914CD"/>
    <w:rsid w:val="00392F9C"/>
    <w:rsid w:val="003941B1"/>
    <w:rsid w:val="00394740"/>
    <w:rsid w:val="003947D8"/>
    <w:rsid w:val="003949EB"/>
    <w:rsid w:val="00395AA1"/>
    <w:rsid w:val="00395DE8"/>
    <w:rsid w:val="00396798"/>
    <w:rsid w:val="00397CC4"/>
    <w:rsid w:val="00397CDB"/>
    <w:rsid w:val="003A05E2"/>
    <w:rsid w:val="003A09CF"/>
    <w:rsid w:val="003A0BF3"/>
    <w:rsid w:val="003A2545"/>
    <w:rsid w:val="003A28D4"/>
    <w:rsid w:val="003A2E5D"/>
    <w:rsid w:val="003A35E3"/>
    <w:rsid w:val="003A3CC2"/>
    <w:rsid w:val="003A3EBC"/>
    <w:rsid w:val="003A5DAC"/>
    <w:rsid w:val="003A5E22"/>
    <w:rsid w:val="003A5E98"/>
    <w:rsid w:val="003A7235"/>
    <w:rsid w:val="003A735B"/>
    <w:rsid w:val="003B04B8"/>
    <w:rsid w:val="003B11A3"/>
    <w:rsid w:val="003B1833"/>
    <w:rsid w:val="003B1DB5"/>
    <w:rsid w:val="003B207D"/>
    <w:rsid w:val="003B2292"/>
    <w:rsid w:val="003B4388"/>
    <w:rsid w:val="003B4CE2"/>
    <w:rsid w:val="003B505B"/>
    <w:rsid w:val="003B5C42"/>
    <w:rsid w:val="003B621B"/>
    <w:rsid w:val="003B658B"/>
    <w:rsid w:val="003B6FF1"/>
    <w:rsid w:val="003B7173"/>
    <w:rsid w:val="003B74D4"/>
    <w:rsid w:val="003B7718"/>
    <w:rsid w:val="003B79E9"/>
    <w:rsid w:val="003B7E1C"/>
    <w:rsid w:val="003B7EB0"/>
    <w:rsid w:val="003C0700"/>
    <w:rsid w:val="003C0847"/>
    <w:rsid w:val="003C0CB0"/>
    <w:rsid w:val="003C10BD"/>
    <w:rsid w:val="003C3E5C"/>
    <w:rsid w:val="003C52AA"/>
    <w:rsid w:val="003C554D"/>
    <w:rsid w:val="003C5C1B"/>
    <w:rsid w:val="003C7483"/>
    <w:rsid w:val="003D0432"/>
    <w:rsid w:val="003D061E"/>
    <w:rsid w:val="003D171A"/>
    <w:rsid w:val="003D1C7C"/>
    <w:rsid w:val="003D1D78"/>
    <w:rsid w:val="003D20B5"/>
    <w:rsid w:val="003D2566"/>
    <w:rsid w:val="003D3B52"/>
    <w:rsid w:val="003D4A59"/>
    <w:rsid w:val="003D4B41"/>
    <w:rsid w:val="003D551C"/>
    <w:rsid w:val="003D5C37"/>
    <w:rsid w:val="003D5FA3"/>
    <w:rsid w:val="003D611F"/>
    <w:rsid w:val="003D615A"/>
    <w:rsid w:val="003D6AA4"/>
    <w:rsid w:val="003D6ED4"/>
    <w:rsid w:val="003D7779"/>
    <w:rsid w:val="003E0263"/>
    <w:rsid w:val="003E0E5F"/>
    <w:rsid w:val="003E2059"/>
    <w:rsid w:val="003E2E80"/>
    <w:rsid w:val="003E33CB"/>
    <w:rsid w:val="003E3CBE"/>
    <w:rsid w:val="003E42A2"/>
    <w:rsid w:val="003E57EE"/>
    <w:rsid w:val="003E6A51"/>
    <w:rsid w:val="003E7039"/>
    <w:rsid w:val="003E7506"/>
    <w:rsid w:val="003E765B"/>
    <w:rsid w:val="003E7B78"/>
    <w:rsid w:val="003F0C1A"/>
    <w:rsid w:val="003F0D68"/>
    <w:rsid w:val="003F0F01"/>
    <w:rsid w:val="003F19C0"/>
    <w:rsid w:val="003F2781"/>
    <w:rsid w:val="003F27D0"/>
    <w:rsid w:val="003F2CE6"/>
    <w:rsid w:val="003F35B8"/>
    <w:rsid w:val="003F40C1"/>
    <w:rsid w:val="003F40D1"/>
    <w:rsid w:val="003F411C"/>
    <w:rsid w:val="003F4DF2"/>
    <w:rsid w:val="003F58C2"/>
    <w:rsid w:val="003F74F7"/>
    <w:rsid w:val="00400184"/>
    <w:rsid w:val="004003CE"/>
    <w:rsid w:val="00400A60"/>
    <w:rsid w:val="00401FB4"/>
    <w:rsid w:val="004032AF"/>
    <w:rsid w:val="00403549"/>
    <w:rsid w:val="00404397"/>
    <w:rsid w:val="00404E0B"/>
    <w:rsid w:val="00405114"/>
    <w:rsid w:val="0040518C"/>
    <w:rsid w:val="0040733F"/>
    <w:rsid w:val="004079FE"/>
    <w:rsid w:val="00407D6A"/>
    <w:rsid w:val="0041074E"/>
    <w:rsid w:val="0041112F"/>
    <w:rsid w:val="00411C3D"/>
    <w:rsid w:val="0041210B"/>
    <w:rsid w:val="00413704"/>
    <w:rsid w:val="00413B89"/>
    <w:rsid w:val="00413D9D"/>
    <w:rsid w:val="00413E4B"/>
    <w:rsid w:val="00414FA2"/>
    <w:rsid w:val="004157B0"/>
    <w:rsid w:val="004178A8"/>
    <w:rsid w:val="00420C21"/>
    <w:rsid w:val="00421032"/>
    <w:rsid w:val="0042134A"/>
    <w:rsid w:val="00421D68"/>
    <w:rsid w:val="00421F8E"/>
    <w:rsid w:val="00423D84"/>
    <w:rsid w:val="00426BA9"/>
    <w:rsid w:val="004273E7"/>
    <w:rsid w:val="00427F0B"/>
    <w:rsid w:val="0043003B"/>
    <w:rsid w:val="004304E4"/>
    <w:rsid w:val="00430898"/>
    <w:rsid w:val="00430998"/>
    <w:rsid w:val="00430D5A"/>
    <w:rsid w:val="00430F77"/>
    <w:rsid w:val="004322F7"/>
    <w:rsid w:val="00432F5C"/>
    <w:rsid w:val="00433016"/>
    <w:rsid w:val="004332D0"/>
    <w:rsid w:val="0043372A"/>
    <w:rsid w:val="00434738"/>
    <w:rsid w:val="004348CA"/>
    <w:rsid w:val="0043601C"/>
    <w:rsid w:val="00436C99"/>
    <w:rsid w:val="00436D16"/>
    <w:rsid w:val="00436F0A"/>
    <w:rsid w:val="0043718B"/>
    <w:rsid w:val="00440F21"/>
    <w:rsid w:val="00441476"/>
    <w:rsid w:val="00442031"/>
    <w:rsid w:val="0044206A"/>
    <w:rsid w:val="0044253C"/>
    <w:rsid w:val="004425AC"/>
    <w:rsid w:val="00442A52"/>
    <w:rsid w:val="00442ABC"/>
    <w:rsid w:val="00443126"/>
    <w:rsid w:val="00443C71"/>
    <w:rsid w:val="00444C81"/>
    <w:rsid w:val="0044545A"/>
    <w:rsid w:val="00445C01"/>
    <w:rsid w:val="00447B7A"/>
    <w:rsid w:val="00447E53"/>
    <w:rsid w:val="0045065B"/>
    <w:rsid w:val="00450775"/>
    <w:rsid w:val="004509B5"/>
    <w:rsid w:val="00450B96"/>
    <w:rsid w:val="00450FCF"/>
    <w:rsid w:val="00451489"/>
    <w:rsid w:val="00452720"/>
    <w:rsid w:val="00452CC8"/>
    <w:rsid w:val="00453CD9"/>
    <w:rsid w:val="0045450A"/>
    <w:rsid w:val="00454F37"/>
    <w:rsid w:val="004556A5"/>
    <w:rsid w:val="0045581C"/>
    <w:rsid w:val="00455B18"/>
    <w:rsid w:val="00456087"/>
    <w:rsid w:val="004578AB"/>
    <w:rsid w:val="00460087"/>
    <w:rsid w:val="00460AE6"/>
    <w:rsid w:val="00460BEF"/>
    <w:rsid w:val="004614B4"/>
    <w:rsid w:val="00461B6A"/>
    <w:rsid w:val="00462200"/>
    <w:rsid w:val="0046347C"/>
    <w:rsid w:val="00463B45"/>
    <w:rsid w:val="00464F3D"/>
    <w:rsid w:val="004650FC"/>
    <w:rsid w:val="00465666"/>
    <w:rsid w:val="00465672"/>
    <w:rsid w:val="004658EA"/>
    <w:rsid w:val="00466539"/>
    <w:rsid w:val="00466D51"/>
    <w:rsid w:val="00466F9A"/>
    <w:rsid w:val="004671B2"/>
    <w:rsid w:val="00467CB9"/>
    <w:rsid w:val="00470429"/>
    <w:rsid w:val="00470E79"/>
    <w:rsid w:val="004723D7"/>
    <w:rsid w:val="00472AA9"/>
    <w:rsid w:val="0047380C"/>
    <w:rsid w:val="00473F72"/>
    <w:rsid w:val="00474A88"/>
    <w:rsid w:val="00475A16"/>
    <w:rsid w:val="004802CE"/>
    <w:rsid w:val="004812D9"/>
    <w:rsid w:val="00481BF4"/>
    <w:rsid w:val="0048329E"/>
    <w:rsid w:val="0048429E"/>
    <w:rsid w:val="004847EC"/>
    <w:rsid w:val="00484A65"/>
    <w:rsid w:val="00484BEF"/>
    <w:rsid w:val="004858E7"/>
    <w:rsid w:val="00485936"/>
    <w:rsid w:val="004863E2"/>
    <w:rsid w:val="0048658E"/>
    <w:rsid w:val="004867E1"/>
    <w:rsid w:val="00486BA9"/>
    <w:rsid w:val="00491243"/>
    <w:rsid w:val="004912DB"/>
    <w:rsid w:val="00491A94"/>
    <w:rsid w:val="00492E9B"/>
    <w:rsid w:val="004930F4"/>
    <w:rsid w:val="00493FC3"/>
    <w:rsid w:val="00494382"/>
    <w:rsid w:val="00494C0F"/>
    <w:rsid w:val="0049573C"/>
    <w:rsid w:val="00495947"/>
    <w:rsid w:val="00495987"/>
    <w:rsid w:val="00495A75"/>
    <w:rsid w:val="00496395"/>
    <w:rsid w:val="0049648C"/>
    <w:rsid w:val="00497578"/>
    <w:rsid w:val="00497784"/>
    <w:rsid w:val="004A0E9F"/>
    <w:rsid w:val="004A1ECF"/>
    <w:rsid w:val="004A2D2D"/>
    <w:rsid w:val="004A3EEB"/>
    <w:rsid w:val="004A46D9"/>
    <w:rsid w:val="004A5120"/>
    <w:rsid w:val="004A5E34"/>
    <w:rsid w:val="004A6473"/>
    <w:rsid w:val="004A6BA3"/>
    <w:rsid w:val="004A77CB"/>
    <w:rsid w:val="004B01DF"/>
    <w:rsid w:val="004B059D"/>
    <w:rsid w:val="004B0C8A"/>
    <w:rsid w:val="004B19B6"/>
    <w:rsid w:val="004B226E"/>
    <w:rsid w:val="004B29D8"/>
    <w:rsid w:val="004B2DA1"/>
    <w:rsid w:val="004B31FB"/>
    <w:rsid w:val="004B39C7"/>
    <w:rsid w:val="004B3D05"/>
    <w:rsid w:val="004B450B"/>
    <w:rsid w:val="004B461E"/>
    <w:rsid w:val="004B50FB"/>
    <w:rsid w:val="004B5983"/>
    <w:rsid w:val="004B59FB"/>
    <w:rsid w:val="004B65CC"/>
    <w:rsid w:val="004B6B53"/>
    <w:rsid w:val="004B6D9B"/>
    <w:rsid w:val="004B79FC"/>
    <w:rsid w:val="004B7A39"/>
    <w:rsid w:val="004C0208"/>
    <w:rsid w:val="004C02F7"/>
    <w:rsid w:val="004C11CC"/>
    <w:rsid w:val="004C160D"/>
    <w:rsid w:val="004C1D58"/>
    <w:rsid w:val="004C241A"/>
    <w:rsid w:val="004C353A"/>
    <w:rsid w:val="004C39BF"/>
    <w:rsid w:val="004C3F06"/>
    <w:rsid w:val="004C43ED"/>
    <w:rsid w:val="004C54F0"/>
    <w:rsid w:val="004C5A8C"/>
    <w:rsid w:val="004C5AEC"/>
    <w:rsid w:val="004C64DD"/>
    <w:rsid w:val="004C65D2"/>
    <w:rsid w:val="004C70BE"/>
    <w:rsid w:val="004C73FC"/>
    <w:rsid w:val="004C7A39"/>
    <w:rsid w:val="004D194A"/>
    <w:rsid w:val="004D1D8D"/>
    <w:rsid w:val="004D28C9"/>
    <w:rsid w:val="004D3110"/>
    <w:rsid w:val="004D4AC6"/>
    <w:rsid w:val="004D4D69"/>
    <w:rsid w:val="004D4E71"/>
    <w:rsid w:val="004D527E"/>
    <w:rsid w:val="004D56E0"/>
    <w:rsid w:val="004D57A3"/>
    <w:rsid w:val="004D61C8"/>
    <w:rsid w:val="004D6361"/>
    <w:rsid w:val="004E0A53"/>
    <w:rsid w:val="004E0A74"/>
    <w:rsid w:val="004E0AB8"/>
    <w:rsid w:val="004E2319"/>
    <w:rsid w:val="004E26FE"/>
    <w:rsid w:val="004E2924"/>
    <w:rsid w:val="004E29D1"/>
    <w:rsid w:val="004E3332"/>
    <w:rsid w:val="004E3B52"/>
    <w:rsid w:val="004E4142"/>
    <w:rsid w:val="004E4B95"/>
    <w:rsid w:val="004E51B2"/>
    <w:rsid w:val="004E6231"/>
    <w:rsid w:val="004E68D5"/>
    <w:rsid w:val="004F0133"/>
    <w:rsid w:val="004F0CDA"/>
    <w:rsid w:val="004F1FDA"/>
    <w:rsid w:val="004F3BE9"/>
    <w:rsid w:val="004F3E76"/>
    <w:rsid w:val="004F4C19"/>
    <w:rsid w:val="004F4E23"/>
    <w:rsid w:val="004F5172"/>
    <w:rsid w:val="004F5665"/>
    <w:rsid w:val="004F67B4"/>
    <w:rsid w:val="004F6929"/>
    <w:rsid w:val="004F7B2F"/>
    <w:rsid w:val="00500462"/>
    <w:rsid w:val="0050100C"/>
    <w:rsid w:val="00501207"/>
    <w:rsid w:val="00501504"/>
    <w:rsid w:val="00501E55"/>
    <w:rsid w:val="00502136"/>
    <w:rsid w:val="00503C5D"/>
    <w:rsid w:val="00504139"/>
    <w:rsid w:val="005050D2"/>
    <w:rsid w:val="005055D9"/>
    <w:rsid w:val="00506835"/>
    <w:rsid w:val="00506897"/>
    <w:rsid w:val="00506976"/>
    <w:rsid w:val="0050697E"/>
    <w:rsid w:val="005123C8"/>
    <w:rsid w:val="00512ED5"/>
    <w:rsid w:val="0051380C"/>
    <w:rsid w:val="00513B08"/>
    <w:rsid w:val="0051454E"/>
    <w:rsid w:val="0051498D"/>
    <w:rsid w:val="00514C58"/>
    <w:rsid w:val="005159AB"/>
    <w:rsid w:val="00516167"/>
    <w:rsid w:val="00516951"/>
    <w:rsid w:val="00517A59"/>
    <w:rsid w:val="00520A2F"/>
    <w:rsid w:val="00521382"/>
    <w:rsid w:val="005213EF"/>
    <w:rsid w:val="00521489"/>
    <w:rsid w:val="0052165B"/>
    <w:rsid w:val="00521760"/>
    <w:rsid w:val="00521DD7"/>
    <w:rsid w:val="00521FA1"/>
    <w:rsid w:val="005234D9"/>
    <w:rsid w:val="005252C0"/>
    <w:rsid w:val="005266FB"/>
    <w:rsid w:val="00527031"/>
    <w:rsid w:val="005307D3"/>
    <w:rsid w:val="005307F4"/>
    <w:rsid w:val="00531194"/>
    <w:rsid w:val="005314EC"/>
    <w:rsid w:val="00531B07"/>
    <w:rsid w:val="005320F9"/>
    <w:rsid w:val="005329E0"/>
    <w:rsid w:val="00533A51"/>
    <w:rsid w:val="00534533"/>
    <w:rsid w:val="005347B9"/>
    <w:rsid w:val="00534E4E"/>
    <w:rsid w:val="00535018"/>
    <w:rsid w:val="005360B3"/>
    <w:rsid w:val="005368F6"/>
    <w:rsid w:val="00536D2C"/>
    <w:rsid w:val="00536E81"/>
    <w:rsid w:val="00537BFD"/>
    <w:rsid w:val="005402B9"/>
    <w:rsid w:val="0054057A"/>
    <w:rsid w:val="00541B4F"/>
    <w:rsid w:val="00541C93"/>
    <w:rsid w:val="005426B4"/>
    <w:rsid w:val="005426C6"/>
    <w:rsid w:val="0054277C"/>
    <w:rsid w:val="005431A8"/>
    <w:rsid w:val="005438F0"/>
    <w:rsid w:val="00544298"/>
    <w:rsid w:val="00544EFD"/>
    <w:rsid w:val="005454B7"/>
    <w:rsid w:val="00545858"/>
    <w:rsid w:val="00545B3B"/>
    <w:rsid w:val="00545CC4"/>
    <w:rsid w:val="00547208"/>
    <w:rsid w:val="00547D3D"/>
    <w:rsid w:val="00547F13"/>
    <w:rsid w:val="0055002A"/>
    <w:rsid w:val="00550121"/>
    <w:rsid w:val="00550586"/>
    <w:rsid w:val="00550A3D"/>
    <w:rsid w:val="00551CD2"/>
    <w:rsid w:val="0055314C"/>
    <w:rsid w:val="005536B5"/>
    <w:rsid w:val="00553789"/>
    <w:rsid w:val="00553B9C"/>
    <w:rsid w:val="00554DCE"/>
    <w:rsid w:val="005551F1"/>
    <w:rsid w:val="00556027"/>
    <w:rsid w:val="005560A4"/>
    <w:rsid w:val="005609FC"/>
    <w:rsid w:val="00560B75"/>
    <w:rsid w:val="00561516"/>
    <w:rsid w:val="00561A5C"/>
    <w:rsid w:val="00563134"/>
    <w:rsid w:val="00564B69"/>
    <w:rsid w:val="00566506"/>
    <w:rsid w:val="0056785F"/>
    <w:rsid w:val="00567950"/>
    <w:rsid w:val="0057005C"/>
    <w:rsid w:val="0057115E"/>
    <w:rsid w:val="005725CE"/>
    <w:rsid w:val="005729D1"/>
    <w:rsid w:val="00572C55"/>
    <w:rsid w:val="00572E99"/>
    <w:rsid w:val="00573201"/>
    <w:rsid w:val="00573DF4"/>
    <w:rsid w:val="00575047"/>
    <w:rsid w:val="00575708"/>
    <w:rsid w:val="00575AC6"/>
    <w:rsid w:val="00577515"/>
    <w:rsid w:val="0057761B"/>
    <w:rsid w:val="00580460"/>
    <w:rsid w:val="00580931"/>
    <w:rsid w:val="00580A4F"/>
    <w:rsid w:val="00581093"/>
    <w:rsid w:val="005818A3"/>
    <w:rsid w:val="00581A78"/>
    <w:rsid w:val="0058219B"/>
    <w:rsid w:val="0058282D"/>
    <w:rsid w:val="0058423A"/>
    <w:rsid w:val="00584AD7"/>
    <w:rsid w:val="00585433"/>
    <w:rsid w:val="00585CFD"/>
    <w:rsid w:val="00585EC5"/>
    <w:rsid w:val="00585EC8"/>
    <w:rsid w:val="00586082"/>
    <w:rsid w:val="00586184"/>
    <w:rsid w:val="005861B1"/>
    <w:rsid w:val="005873E3"/>
    <w:rsid w:val="005875D2"/>
    <w:rsid w:val="00587C9B"/>
    <w:rsid w:val="00587CB7"/>
    <w:rsid w:val="0059120C"/>
    <w:rsid w:val="005922E3"/>
    <w:rsid w:val="00592AAE"/>
    <w:rsid w:val="00595525"/>
    <w:rsid w:val="005955FE"/>
    <w:rsid w:val="005957BC"/>
    <w:rsid w:val="00595A40"/>
    <w:rsid w:val="00595D20"/>
    <w:rsid w:val="00595D63"/>
    <w:rsid w:val="005969D1"/>
    <w:rsid w:val="005976DD"/>
    <w:rsid w:val="00597BE6"/>
    <w:rsid w:val="00597C73"/>
    <w:rsid w:val="00597E58"/>
    <w:rsid w:val="005A0889"/>
    <w:rsid w:val="005A1088"/>
    <w:rsid w:val="005A11E3"/>
    <w:rsid w:val="005A2316"/>
    <w:rsid w:val="005A29DB"/>
    <w:rsid w:val="005A3867"/>
    <w:rsid w:val="005A3975"/>
    <w:rsid w:val="005A3BCB"/>
    <w:rsid w:val="005A4863"/>
    <w:rsid w:val="005A4DED"/>
    <w:rsid w:val="005A5DA0"/>
    <w:rsid w:val="005A7089"/>
    <w:rsid w:val="005B07E0"/>
    <w:rsid w:val="005B1846"/>
    <w:rsid w:val="005B37D4"/>
    <w:rsid w:val="005B4019"/>
    <w:rsid w:val="005B41BF"/>
    <w:rsid w:val="005B4706"/>
    <w:rsid w:val="005B4867"/>
    <w:rsid w:val="005B4ACF"/>
    <w:rsid w:val="005B5591"/>
    <w:rsid w:val="005B5A1F"/>
    <w:rsid w:val="005B6788"/>
    <w:rsid w:val="005B7820"/>
    <w:rsid w:val="005C01AA"/>
    <w:rsid w:val="005C108E"/>
    <w:rsid w:val="005C11B7"/>
    <w:rsid w:val="005C1D27"/>
    <w:rsid w:val="005C3A61"/>
    <w:rsid w:val="005C3F13"/>
    <w:rsid w:val="005C3FE1"/>
    <w:rsid w:val="005C4179"/>
    <w:rsid w:val="005C4700"/>
    <w:rsid w:val="005C60F0"/>
    <w:rsid w:val="005C640B"/>
    <w:rsid w:val="005C6C13"/>
    <w:rsid w:val="005C7595"/>
    <w:rsid w:val="005D032D"/>
    <w:rsid w:val="005D0B12"/>
    <w:rsid w:val="005D0B6B"/>
    <w:rsid w:val="005D0BCF"/>
    <w:rsid w:val="005D0F61"/>
    <w:rsid w:val="005D16D2"/>
    <w:rsid w:val="005D22F6"/>
    <w:rsid w:val="005D26B3"/>
    <w:rsid w:val="005D31E8"/>
    <w:rsid w:val="005D379B"/>
    <w:rsid w:val="005D4BE7"/>
    <w:rsid w:val="005D4FC2"/>
    <w:rsid w:val="005D50AD"/>
    <w:rsid w:val="005D548B"/>
    <w:rsid w:val="005D5D3D"/>
    <w:rsid w:val="005D60D8"/>
    <w:rsid w:val="005D68D1"/>
    <w:rsid w:val="005D68FE"/>
    <w:rsid w:val="005D7995"/>
    <w:rsid w:val="005E0BDD"/>
    <w:rsid w:val="005E2A97"/>
    <w:rsid w:val="005E2C9E"/>
    <w:rsid w:val="005E3221"/>
    <w:rsid w:val="005E3C5A"/>
    <w:rsid w:val="005E4208"/>
    <w:rsid w:val="005E4409"/>
    <w:rsid w:val="005E4F59"/>
    <w:rsid w:val="005E656D"/>
    <w:rsid w:val="005E6DE2"/>
    <w:rsid w:val="005E70E0"/>
    <w:rsid w:val="005E75AA"/>
    <w:rsid w:val="005F07FD"/>
    <w:rsid w:val="005F24AD"/>
    <w:rsid w:val="005F3239"/>
    <w:rsid w:val="005F3443"/>
    <w:rsid w:val="005F35BC"/>
    <w:rsid w:val="005F46AB"/>
    <w:rsid w:val="005F4890"/>
    <w:rsid w:val="005F60C5"/>
    <w:rsid w:val="005F6810"/>
    <w:rsid w:val="006004D3"/>
    <w:rsid w:val="00600C0E"/>
    <w:rsid w:val="00600DE3"/>
    <w:rsid w:val="006032B6"/>
    <w:rsid w:val="00603A12"/>
    <w:rsid w:val="00603B58"/>
    <w:rsid w:val="00603D22"/>
    <w:rsid w:val="00604593"/>
    <w:rsid w:val="00604654"/>
    <w:rsid w:val="00604663"/>
    <w:rsid w:val="00604FE8"/>
    <w:rsid w:val="006052D8"/>
    <w:rsid w:val="006053C5"/>
    <w:rsid w:val="006058CE"/>
    <w:rsid w:val="00605FB3"/>
    <w:rsid w:val="00606806"/>
    <w:rsid w:val="0061077D"/>
    <w:rsid w:val="006110DF"/>
    <w:rsid w:val="00611620"/>
    <w:rsid w:val="00612874"/>
    <w:rsid w:val="00612995"/>
    <w:rsid w:val="00612F5D"/>
    <w:rsid w:val="006134AD"/>
    <w:rsid w:val="006134B0"/>
    <w:rsid w:val="00613A6A"/>
    <w:rsid w:val="00614EA5"/>
    <w:rsid w:val="006158BD"/>
    <w:rsid w:val="0061697A"/>
    <w:rsid w:val="00616C6A"/>
    <w:rsid w:val="00616E31"/>
    <w:rsid w:val="00617E26"/>
    <w:rsid w:val="00620157"/>
    <w:rsid w:val="00621E93"/>
    <w:rsid w:val="006228EB"/>
    <w:rsid w:val="00622968"/>
    <w:rsid w:val="00623B37"/>
    <w:rsid w:val="00624AF7"/>
    <w:rsid w:val="00625800"/>
    <w:rsid w:val="006268F7"/>
    <w:rsid w:val="00626A65"/>
    <w:rsid w:val="006301A8"/>
    <w:rsid w:val="0063126F"/>
    <w:rsid w:val="006317E4"/>
    <w:rsid w:val="00632716"/>
    <w:rsid w:val="0063367B"/>
    <w:rsid w:val="006362D7"/>
    <w:rsid w:val="00636DD4"/>
    <w:rsid w:val="00636EE1"/>
    <w:rsid w:val="006371D7"/>
    <w:rsid w:val="00640332"/>
    <w:rsid w:val="00640D34"/>
    <w:rsid w:val="00641B00"/>
    <w:rsid w:val="00642A33"/>
    <w:rsid w:val="00643D2F"/>
    <w:rsid w:val="00643D45"/>
    <w:rsid w:val="0064414B"/>
    <w:rsid w:val="00644178"/>
    <w:rsid w:val="0064465D"/>
    <w:rsid w:val="006446DA"/>
    <w:rsid w:val="00644963"/>
    <w:rsid w:val="00645BB7"/>
    <w:rsid w:val="00646CAE"/>
    <w:rsid w:val="00646E50"/>
    <w:rsid w:val="00646F7C"/>
    <w:rsid w:val="00647284"/>
    <w:rsid w:val="00647B3C"/>
    <w:rsid w:val="00651F3F"/>
    <w:rsid w:val="00652460"/>
    <w:rsid w:val="00652E05"/>
    <w:rsid w:val="00652FBD"/>
    <w:rsid w:val="00653DBD"/>
    <w:rsid w:val="00655014"/>
    <w:rsid w:val="00655498"/>
    <w:rsid w:val="0065561A"/>
    <w:rsid w:val="00655D32"/>
    <w:rsid w:val="00656CC7"/>
    <w:rsid w:val="00656D66"/>
    <w:rsid w:val="006578E9"/>
    <w:rsid w:val="00657ECE"/>
    <w:rsid w:val="00660217"/>
    <w:rsid w:val="00661671"/>
    <w:rsid w:val="006633D6"/>
    <w:rsid w:val="00663A83"/>
    <w:rsid w:val="00663B92"/>
    <w:rsid w:val="00663FA4"/>
    <w:rsid w:val="0066436D"/>
    <w:rsid w:val="00665DAA"/>
    <w:rsid w:val="0066709F"/>
    <w:rsid w:val="00667379"/>
    <w:rsid w:val="0066740C"/>
    <w:rsid w:val="0066741D"/>
    <w:rsid w:val="00667473"/>
    <w:rsid w:val="0067013F"/>
    <w:rsid w:val="00670594"/>
    <w:rsid w:val="00671CAB"/>
    <w:rsid w:val="00672168"/>
    <w:rsid w:val="00672755"/>
    <w:rsid w:val="00672FF4"/>
    <w:rsid w:val="006731A0"/>
    <w:rsid w:val="00675763"/>
    <w:rsid w:val="006758EC"/>
    <w:rsid w:val="0067677A"/>
    <w:rsid w:val="00676D6D"/>
    <w:rsid w:val="0067717A"/>
    <w:rsid w:val="00677DFF"/>
    <w:rsid w:val="00680655"/>
    <w:rsid w:val="0068216B"/>
    <w:rsid w:val="0068219D"/>
    <w:rsid w:val="006839F4"/>
    <w:rsid w:val="006840A8"/>
    <w:rsid w:val="0068418C"/>
    <w:rsid w:val="0068462F"/>
    <w:rsid w:val="0068483B"/>
    <w:rsid w:val="0068486C"/>
    <w:rsid w:val="006863FB"/>
    <w:rsid w:val="006871F2"/>
    <w:rsid w:val="0068723B"/>
    <w:rsid w:val="00687BC7"/>
    <w:rsid w:val="00687C68"/>
    <w:rsid w:val="0069006C"/>
    <w:rsid w:val="00691A02"/>
    <w:rsid w:val="0069214C"/>
    <w:rsid w:val="006923E1"/>
    <w:rsid w:val="00693B98"/>
    <w:rsid w:val="00693E87"/>
    <w:rsid w:val="0069462A"/>
    <w:rsid w:val="006959BA"/>
    <w:rsid w:val="0069673F"/>
    <w:rsid w:val="0069771F"/>
    <w:rsid w:val="00697A68"/>
    <w:rsid w:val="006A03F6"/>
    <w:rsid w:val="006A0A57"/>
    <w:rsid w:val="006A1393"/>
    <w:rsid w:val="006A1827"/>
    <w:rsid w:val="006A2526"/>
    <w:rsid w:val="006A59DB"/>
    <w:rsid w:val="006A619B"/>
    <w:rsid w:val="006A6737"/>
    <w:rsid w:val="006A685F"/>
    <w:rsid w:val="006A7023"/>
    <w:rsid w:val="006A78CF"/>
    <w:rsid w:val="006A78E4"/>
    <w:rsid w:val="006A7C45"/>
    <w:rsid w:val="006B0A00"/>
    <w:rsid w:val="006B0B06"/>
    <w:rsid w:val="006B0B3F"/>
    <w:rsid w:val="006B133B"/>
    <w:rsid w:val="006B1525"/>
    <w:rsid w:val="006B1704"/>
    <w:rsid w:val="006B1C1D"/>
    <w:rsid w:val="006B1F17"/>
    <w:rsid w:val="006B30F2"/>
    <w:rsid w:val="006B3446"/>
    <w:rsid w:val="006B3AB4"/>
    <w:rsid w:val="006B4203"/>
    <w:rsid w:val="006B65D6"/>
    <w:rsid w:val="006B7585"/>
    <w:rsid w:val="006B7942"/>
    <w:rsid w:val="006B7BA2"/>
    <w:rsid w:val="006C102E"/>
    <w:rsid w:val="006C19C0"/>
    <w:rsid w:val="006C2141"/>
    <w:rsid w:val="006C2E99"/>
    <w:rsid w:val="006C3709"/>
    <w:rsid w:val="006C3F36"/>
    <w:rsid w:val="006C4D37"/>
    <w:rsid w:val="006C4D84"/>
    <w:rsid w:val="006C4F51"/>
    <w:rsid w:val="006C7F5E"/>
    <w:rsid w:val="006D026F"/>
    <w:rsid w:val="006D1622"/>
    <w:rsid w:val="006D1A0D"/>
    <w:rsid w:val="006D1CC0"/>
    <w:rsid w:val="006D2B24"/>
    <w:rsid w:val="006D3987"/>
    <w:rsid w:val="006D3C7E"/>
    <w:rsid w:val="006D4253"/>
    <w:rsid w:val="006D55E5"/>
    <w:rsid w:val="006D5E6D"/>
    <w:rsid w:val="006D6598"/>
    <w:rsid w:val="006D6E50"/>
    <w:rsid w:val="006D7EB3"/>
    <w:rsid w:val="006E0615"/>
    <w:rsid w:val="006E239D"/>
    <w:rsid w:val="006E2936"/>
    <w:rsid w:val="006E379B"/>
    <w:rsid w:val="006E39D2"/>
    <w:rsid w:val="006E4405"/>
    <w:rsid w:val="006E4E7D"/>
    <w:rsid w:val="006E5148"/>
    <w:rsid w:val="006E639F"/>
    <w:rsid w:val="006E69D1"/>
    <w:rsid w:val="006E6BA8"/>
    <w:rsid w:val="006E6D54"/>
    <w:rsid w:val="006E7B9B"/>
    <w:rsid w:val="006E7F24"/>
    <w:rsid w:val="006F07F0"/>
    <w:rsid w:val="006F091B"/>
    <w:rsid w:val="006F10F8"/>
    <w:rsid w:val="006F1600"/>
    <w:rsid w:val="006F169D"/>
    <w:rsid w:val="006F1771"/>
    <w:rsid w:val="006F1B32"/>
    <w:rsid w:val="006F1DAD"/>
    <w:rsid w:val="006F2EE5"/>
    <w:rsid w:val="006F38BF"/>
    <w:rsid w:val="006F4CB5"/>
    <w:rsid w:val="006F4E66"/>
    <w:rsid w:val="006F4ECC"/>
    <w:rsid w:val="006F5625"/>
    <w:rsid w:val="006F60E4"/>
    <w:rsid w:val="006F63EE"/>
    <w:rsid w:val="006F6424"/>
    <w:rsid w:val="006F6D6F"/>
    <w:rsid w:val="006F7555"/>
    <w:rsid w:val="006F7AFB"/>
    <w:rsid w:val="007003DF"/>
    <w:rsid w:val="00702A88"/>
    <w:rsid w:val="00702F2E"/>
    <w:rsid w:val="007041B6"/>
    <w:rsid w:val="007041CD"/>
    <w:rsid w:val="007048A1"/>
    <w:rsid w:val="0070767C"/>
    <w:rsid w:val="00707DAA"/>
    <w:rsid w:val="00710037"/>
    <w:rsid w:val="00710B87"/>
    <w:rsid w:val="00713746"/>
    <w:rsid w:val="007154A1"/>
    <w:rsid w:val="00717B59"/>
    <w:rsid w:val="0072009C"/>
    <w:rsid w:val="00720395"/>
    <w:rsid w:val="00720517"/>
    <w:rsid w:val="007205E8"/>
    <w:rsid w:val="00720A13"/>
    <w:rsid w:val="007219F9"/>
    <w:rsid w:val="00721A0A"/>
    <w:rsid w:val="00722123"/>
    <w:rsid w:val="0072586A"/>
    <w:rsid w:val="00726172"/>
    <w:rsid w:val="0072694E"/>
    <w:rsid w:val="00727AF3"/>
    <w:rsid w:val="0073045A"/>
    <w:rsid w:val="00730EB6"/>
    <w:rsid w:val="0073146D"/>
    <w:rsid w:val="00732B87"/>
    <w:rsid w:val="00732DBA"/>
    <w:rsid w:val="0073361C"/>
    <w:rsid w:val="007337FF"/>
    <w:rsid w:val="0073432F"/>
    <w:rsid w:val="0073445B"/>
    <w:rsid w:val="0073475B"/>
    <w:rsid w:val="00734D01"/>
    <w:rsid w:val="00736B23"/>
    <w:rsid w:val="00736F11"/>
    <w:rsid w:val="0073724B"/>
    <w:rsid w:val="00737542"/>
    <w:rsid w:val="00737EB5"/>
    <w:rsid w:val="00740AA7"/>
    <w:rsid w:val="0074225F"/>
    <w:rsid w:val="00742745"/>
    <w:rsid w:val="0074428E"/>
    <w:rsid w:val="007443B3"/>
    <w:rsid w:val="00744BBE"/>
    <w:rsid w:val="00746F83"/>
    <w:rsid w:val="00747017"/>
    <w:rsid w:val="00747133"/>
    <w:rsid w:val="0074789E"/>
    <w:rsid w:val="007504E7"/>
    <w:rsid w:val="00750815"/>
    <w:rsid w:val="00750F53"/>
    <w:rsid w:val="00753964"/>
    <w:rsid w:val="00753B52"/>
    <w:rsid w:val="007547F1"/>
    <w:rsid w:val="00754EC0"/>
    <w:rsid w:val="0075544F"/>
    <w:rsid w:val="00756A01"/>
    <w:rsid w:val="00756C39"/>
    <w:rsid w:val="00756DF2"/>
    <w:rsid w:val="0075702C"/>
    <w:rsid w:val="007570D1"/>
    <w:rsid w:val="0076024B"/>
    <w:rsid w:val="00760F3E"/>
    <w:rsid w:val="00761A74"/>
    <w:rsid w:val="007624D0"/>
    <w:rsid w:val="0076255A"/>
    <w:rsid w:val="007625D7"/>
    <w:rsid w:val="007626CF"/>
    <w:rsid w:val="0076270A"/>
    <w:rsid w:val="00762DEE"/>
    <w:rsid w:val="00762E0C"/>
    <w:rsid w:val="00762F94"/>
    <w:rsid w:val="00763092"/>
    <w:rsid w:val="007637E4"/>
    <w:rsid w:val="007643FF"/>
    <w:rsid w:val="00765FAA"/>
    <w:rsid w:val="007661CF"/>
    <w:rsid w:val="007667DD"/>
    <w:rsid w:val="00770FF3"/>
    <w:rsid w:val="007729A1"/>
    <w:rsid w:val="00773F7A"/>
    <w:rsid w:val="00775885"/>
    <w:rsid w:val="00775B7A"/>
    <w:rsid w:val="007767E9"/>
    <w:rsid w:val="00776848"/>
    <w:rsid w:val="00776E5E"/>
    <w:rsid w:val="00777017"/>
    <w:rsid w:val="00777275"/>
    <w:rsid w:val="007800F7"/>
    <w:rsid w:val="00780B1C"/>
    <w:rsid w:val="007811B2"/>
    <w:rsid w:val="0078189A"/>
    <w:rsid w:val="0078212A"/>
    <w:rsid w:val="007821F1"/>
    <w:rsid w:val="00782D24"/>
    <w:rsid w:val="00783099"/>
    <w:rsid w:val="00783D21"/>
    <w:rsid w:val="00783F77"/>
    <w:rsid w:val="00786373"/>
    <w:rsid w:val="007867B5"/>
    <w:rsid w:val="00786F4A"/>
    <w:rsid w:val="00787965"/>
    <w:rsid w:val="00790360"/>
    <w:rsid w:val="007912BB"/>
    <w:rsid w:val="00791497"/>
    <w:rsid w:val="0079324F"/>
    <w:rsid w:val="00793474"/>
    <w:rsid w:val="007940C2"/>
    <w:rsid w:val="00794656"/>
    <w:rsid w:val="00794C0B"/>
    <w:rsid w:val="00795015"/>
    <w:rsid w:val="007A04E2"/>
    <w:rsid w:val="007A0AAF"/>
    <w:rsid w:val="007A1D94"/>
    <w:rsid w:val="007A301F"/>
    <w:rsid w:val="007A37A8"/>
    <w:rsid w:val="007A3AFD"/>
    <w:rsid w:val="007A41D8"/>
    <w:rsid w:val="007A45FC"/>
    <w:rsid w:val="007A6391"/>
    <w:rsid w:val="007A7810"/>
    <w:rsid w:val="007B053F"/>
    <w:rsid w:val="007B08E1"/>
    <w:rsid w:val="007B1437"/>
    <w:rsid w:val="007B19CA"/>
    <w:rsid w:val="007B28EB"/>
    <w:rsid w:val="007B3236"/>
    <w:rsid w:val="007B35A2"/>
    <w:rsid w:val="007B526B"/>
    <w:rsid w:val="007B5A1C"/>
    <w:rsid w:val="007B5EC7"/>
    <w:rsid w:val="007B60DC"/>
    <w:rsid w:val="007B6356"/>
    <w:rsid w:val="007B704E"/>
    <w:rsid w:val="007C05BE"/>
    <w:rsid w:val="007C0B2C"/>
    <w:rsid w:val="007C1187"/>
    <w:rsid w:val="007C1D2E"/>
    <w:rsid w:val="007C2483"/>
    <w:rsid w:val="007C24EC"/>
    <w:rsid w:val="007C283F"/>
    <w:rsid w:val="007C3029"/>
    <w:rsid w:val="007C3C89"/>
    <w:rsid w:val="007C419E"/>
    <w:rsid w:val="007C42EC"/>
    <w:rsid w:val="007C4A9B"/>
    <w:rsid w:val="007C4DA0"/>
    <w:rsid w:val="007C5CE4"/>
    <w:rsid w:val="007C5EE0"/>
    <w:rsid w:val="007C6D55"/>
    <w:rsid w:val="007C7E79"/>
    <w:rsid w:val="007D133D"/>
    <w:rsid w:val="007D181C"/>
    <w:rsid w:val="007D1833"/>
    <w:rsid w:val="007D2143"/>
    <w:rsid w:val="007D2506"/>
    <w:rsid w:val="007D33C9"/>
    <w:rsid w:val="007D3C27"/>
    <w:rsid w:val="007D55E7"/>
    <w:rsid w:val="007D5945"/>
    <w:rsid w:val="007D62A4"/>
    <w:rsid w:val="007D7BD3"/>
    <w:rsid w:val="007E029D"/>
    <w:rsid w:val="007E0738"/>
    <w:rsid w:val="007E0DF3"/>
    <w:rsid w:val="007E10AA"/>
    <w:rsid w:val="007E1116"/>
    <w:rsid w:val="007E2DB4"/>
    <w:rsid w:val="007E3205"/>
    <w:rsid w:val="007E32EB"/>
    <w:rsid w:val="007E386A"/>
    <w:rsid w:val="007E39D2"/>
    <w:rsid w:val="007E4031"/>
    <w:rsid w:val="007E40CF"/>
    <w:rsid w:val="007E47A8"/>
    <w:rsid w:val="007E4EC5"/>
    <w:rsid w:val="007E6A81"/>
    <w:rsid w:val="007E6F6B"/>
    <w:rsid w:val="007E6FDD"/>
    <w:rsid w:val="007E7406"/>
    <w:rsid w:val="007E7632"/>
    <w:rsid w:val="007F2BC4"/>
    <w:rsid w:val="007F2EDB"/>
    <w:rsid w:val="007F3152"/>
    <w:rsid w:val="007F3B64"/>
    <w:rsid w:val="007F5969"/>
    <w:rsid w:val="007F61EF"/>
    <w:rsid w:val="007F6A16"/>
    <w:rsid w:val="007F6FA1"/>
    <w:rsid w:val="007F79F5"/>
    <w:rsid w:val="007F7A30"/>
    <w:rsid w:val="007F7DA1"/>
    <w:rsid w:val="007F7F36"/>
    <w:rsid w:val="007F7F5B"/>
    <w:rsid w:val="00801D3B"/>
    <w:rsid w:val="00802773"/>
    <w:rsid w:val="008030BE"/>
    <w:rsid w:val="00804478"/>
    <w:rsid w:val="008057FB"/>
    <w:rsid w:val="008066D1"/>
    <w:rsid w:val="00806A8D"/>
    <w:rsid w:val="00806E10"/>
    <w:rsid w:val="00807077"/>
    <w:rsid w:val="00807265"/>
    <w:rsid w:val="008075DE"/>
    <w:rsid w:val="008075EA"/>
    <w:rsid w:val="008077A8"/>
    <w:rsid w:val="00807853"/>
    <w:rsid w:val="00811884"/>
    <w:rsid w:val="008119DA"/>
    <w:rsid w:val="00813263"/>
    <w:rsid w:val="008136AF"/>
    <w:rsid w:val="00814421"/>
    <w:rsid w:val="0081465D"/>
    <w:rsid w:val="008146AB"/>
    <w:rsid w:val="00815B3A"/>
    <w:rsid w:val="00817C41"/>
    <w:rsid w:val="00817F3F"/>
    <w:rsid w:val="00820591"/>
    <w:rsid w:val="008209DB"/>
    <w:rsid w:val="00820A2E"/>
    <w:rsid w:val="00821012"/>
    <w:rsid w:val="0082141B"/>
    <w:rsid w:val="00821CD5"/>
    <w:rsid w:val="00821E15"/>
    <w:rsid w:val="00822032"/>
    <w:rsid w:val="008232F0"/>
    <w:rsid w:val="00823772"/>
    <w:rsid w:val="008245AF"/>
    <w:rsid w:val="008268E7"/>
    <w:rsid w:val="00826E5F"/>
    <w:rsid w:val="00827736"/>
    <w:rsid w:val="00827B78"/>
    <w:rsid w:val="00827DE1"/>
    <w:rsid w:val="00827FF8"/>
    <w:rsid w:val="008313D5"/>
    <w:rsid w:val="0083144A"/>
    <w:rsid w:val="00831BC6"/>
    <w:rsid w:val="0083337D"/>
    <w:rsid w:val="008350C2"/>
    <w:rsid w:val="00835C4D"/>
    <w:rsid w:val="00835DCB"/>
    <w:rsid w:val="0083672F"/>
    <w:rsid w:val="00836CB4"/>
    <w:rsid w:val="00836F81"/>
    <w:rsid w:val="00837DB9"/>
    <w:rsid w:val="00837E07"/>
    <w:rsid w:val="008404D9"/>
    <w:rsid w:val="00840FCB"/>
    <w:rsid w:val="008411C5"/>
    <w:rsid w:val="00841D43"/>
    <w:rsid w:val="00842E4E"/>
    <w:rsid w:val="00844169"/>
    <w:rsid w:val="008447D1"/>
    <w:rsid w:val="00844ED7"/>
    <w:rsid w:val="008455C6"/>
    <w:rsid w:val="0084574C"/>
    <w:rsid w:val="00845858"/>
    <w:rsid w:val="008459DF"/>
    <w:rsid w:val="00845C0B"/>
    <w:rsid w:val="0084661D"/>
    <w:rsid w:val="00846667"/>
    <w:rsid w:val="008469D6"/>
    <w:rsid w:val="00847447"/>
    <w:rsid w:val="00847972"/>
    <w:rsid w:val="00847C05"/>
    <w:rsid w:val="00847E32"/>
    <w:rsid w:val="00847FEB"/>
    <w:rsid w:val="008506C7"/>
    <w:rsid w:val="00850F72"/>
    <w:rsid w:val="00851A51"/>
    <w:rsid w:val="0085322A"/>
    <w:rsid w:val="00853D9F"/>
    <w:rsid w:val="00854584"/>
    <w:rsid w:val="008548E4"/>
    <w:rsid w:val="00854AF8"/>
    <w:rsid w:val="00855621"/>
    <w:rsid w:val="00855732"/>
    <w:rsid w:val="008563A9"/>
    <w:rsid w:val="00856C08"/>
    <w:rsid w:val="00856FC3"/>
    <w:rsid w:val="00857854"/>
    <w:rsid w:val="00857E98"/>
    <w:rsid w:val="008601C9"/>
    <w:rsid w:val="00860A1E"/>
    <w:rsid w:val="00860B24"/>
    <w:rsid w:val="00860B25"/>
    <w:rsid w:val="0086106F"/>
    <w:rsid w:val="008612CD"/>
    <w:rsid w:val="00861A5B"/>
    <w:rsid w:val="00861CFB"/>
    <w:rsid w:val="00861F19"/>
    <w:rsid w:val="00862BB2"/>
    <w:rsid w:val="008631F1"/>
    <w:rsid w:val="00863472"/>
    <w:rsid w:val="00864692"/>
    <w:rsid w:val="00864F65"/>
    <w:rsid w:val="008655C3"/>
    <w:rsid w:val="008656FB"/>
    <w:rsid w:val="00866B1B"/>
    <w:rsid w:val="00867154"/>
    <w:rsid w:val="00867958"/>
    <w:rsid w:val="00867B71"/>
    <w:rsid w:val="008706C3"/>
    <w:rsid w:val="00870988"/>
    <w:rsid w:val="00871000"/>
    <w:rsid w:val="0087103B"/>
    <w:rsid w:val="008714C6"/>
    <w:rsid w:val="008719A2"/>
    <w:rsid w:val="008726BD"/>
    <w:rsid w:val="0087339D"/>
    <w:rsid w:val="00873B1E"/>
    <w:rsid w:val="00874C8A"/>
    <w:rsid w:val="00874DEA"/>
    <w:rsid w:val="00874EAB"/>
    <w:rsid w:val="00875B92"/>
    <w:rsid w:val="00876176"/>
    <w:rsid w:val="00877965"/>
    <w:rsid w:val="00877D3F"/>
    <w:rsid w:val="008801D4"/>
    <w:rsid w:val="008807D8"/>
    <w:rsid w:val="008816EB"/>
    <w:rsid w:val="008817E8"/>
    <w:rsid w:val="0088186F"/>
    <w:rsid w:val="008820AE"/>
    <w:rsid w:val="00882B71"/>
    <w:rsid w:val="008830C2"/>
    <w:rsid w:val="00883174"/>
    <w:rsid w:val="00883C3C"/>
    <w:rsid w:val="00885ADD"/>
    <w:rsid w:val="00886046"/>
    <w:rsid w:val="00886192"/>
    <w:rsid w:val="00886270"/>
    <w:rsid w:val="00886952"/>
    <w:rsid w:val="00886B21"/>
    <w:rsid w:val="008872EC"/>
    <w:rsid w:val="008905A1"/>
    <w:rsid w:val="00890BE1"/>
    <w:rsid w:val="00891A33"/>
    <w:rsid w:val="00893D04"/>
    <w:rsid w:val="008940BC"/>
    <w:rsid w:val="008946A9"/>
    <w:rsid w:val="0089630B"/>
    <w:rsid w:val="00896D99"/>
    <w:rsid w:val="00897304"/>
    <w:rsid w:val="00897634"/>
    <w:rsid w:val="008A0D30"/>
    <w:rsid w:val="008A13F3"/>
    <w:rsid w:val="008A167C"/>
    <w:rsid w:val="008A196D"/>
    <w:rsid w:val="008A2878"/>
    <w:rsid w:val="008A36A1"/>
    <w:rsid w:val="008A51E6"/>
    <w:rsid w:val="008A574A"/>
    <w:rsid w:val="008A5AEF"/>
    <w:rsid w:val="008A6368"/>
    <w:rsid w:val="008B0EC0"/>
    <w:rsid w:val="008B0EE4"/>
    <w:rsid w:val="008B134D"/>
    <w:rsid w:val="008B201A"/>
    <w:rsid w:val="008B20E1"/>
    <w:rsid w:val="008B2CAD"/>
    <w:rsid w:val="008B3483"/>
    <w:rsid w:val="008B3F0E"/>
    <w:rsid w:val="008B4B35"/>
    <w:rsid w:val="008B67EE"/>
    <w:rsid w:val="008B68F5"/>
    <w:rsid w:val="008B6993"/>
    <w:rsid w:val="008B6B5A"/>
    <w:rsid w:val="008B7307"/>
    <w:rsid w:val="008B7737"/>
    <w:rsid w:val="008C2EE8"/>
    <w:rsid w:val="008C308E"/>
    <w:rsid w:val="008C3BA1"/>
    <w:rsid w:val="008C5061"/>
    <w:rsid w:val="008C5204"/>
    <w:rsid w:val="008C5314"/>
    <w:rsid w:val="008C5C91"/>
    <w:rsid w:val="008C64E4"/>
    <w:rsid w:val="008C78D7"/>
    <w:rsid w:val="008D0E7D"/>
    <w:rsid w:val="008D1F63"/>
    <w:rsid w:val="008D2004"/>
    <w:rsid w:val="008D2471"/>
    <w:rsid w:val="008D27C5"/>
    <w:rsid w:val="008D4768"/>
    <w:rsid w:val="008D4DB8"/>
    <w:rsid w:val="008D5A72"/>
    <w:rsid w:val="008D74D4"/>
    <w:rsid w:val="008D7A30"/>
    <w:rsid w:val="008D7E9A"/>
    <w:rsid w:val="008E0636"/>
    <w:rsid w:val="008E1AC1"/>
    <w:rsid w:val="008E3293"/>
    <w:rsid w:val="008E33D7"/>
    <w:rsid w:val="008E475E"/>
    <w:rsid w:val="008E5089"/>
    <w:rsid w:val="008E58F4"/>
    <w:rsid w:val="008E5FB7"/>
    <w:rsid w:val="008E719C"/>
    <w:rsid w:val="008E7892"/>
    <w:rsid w:val="008E7E53"/>
    <w:rsid w:val="008F0176"/>
    <w:rsid w:val="008F1AF4"/>
    <w:rsid w:val="008F3BCA"/>
    <w:rsid w:val="008F4135"/>
    <w:rsid w:val="008F432C"/>
    <w:rsid w:val="008F48EA"/>
    <w:rsid w:val="008F5A9B"/>
    <w:rsid w:val="008F64E0"/>
    <w:rsid w:val="008F79A9"/>
    <w:rsid w:val="00900FA8"/>
    <w:rsid w:val="009012B7"/>
    <w:rsid w:val="00902591"/>
    <w:rsid w:val="00904614"/>
    <w:rsid w:val="00905349"/>
    <w:rsid w:val="00905B14"/>
    <w:rsid w:val="0090624D"/>
    <w:rsid w:val="009069D2"/>
    <w:rsid w:val="0090738F"/>
    <w:rsid w:val="009100C3"/>
    <w:rsid w:val="009102D9"/>
    <w:rsid w:val="00910A62"/>
    <w:rsid w:val="00910D38"/>
    <w:rsid w:val="009119F7"/>
    <w:rsid w:val="00911EF4"/>
    <w:rsid w:val="00912096"/>
    <w:rsid w:val="00912E2D"/>
    <w:rsid w:val="00913344"/>
    <w:rsid w:val="00913DA2"/>
    <w:rsid w:val="00913F53"/>
    <w:rsid w:val="00914804"/>
    <w:rsid w:val="00914961"/>
    <w:rsid w:val="00914D2E"/>
    <w:rsid w:val="009150DC"/>
    <w:rsid w:val="0091595D"/>
    <w:rsid w:val="009164C8"/>
    <w:rsid w:val="0091686B"/>
    <w:rsid w:val="009169B4"/>
    <w:rsid w:val="00916C7C"/>
    <w:rsid w:val="00916CCA"/>
    <w:rsid w:val="009177F7"/>
    <w:rsid w:val="00917F54"/>
    <w:rsid w:val="009206C8"/>
    <w:rsid w:val="00920FF7"/>
    <w:rsid w:val="0092239B"/>
    <w:rsid w:val="00922426"/>
    <w:rsid w:val="00922659"/>
    <w:rsid w:val="00923061"/>
    <w:rsid w:val="00923973"/>
    <w:rsid w:val="00924B6E"/>
    <w:rsid w:val="00924E31"/>
    <w:rsid w:val="00924E66"/>
    <w:rsid w:val="00925B27"/>
    <w:rsid w:val="0092630D"/>
    <w:rsid w:val="00927B9A"/>
    <w:rsid w:val="00930240"/>
    <w:rsid w:val="0093069C"/>
    <w:rsid w:val="00930FE4"/>
    <w:rsid w:val="009313F8"/>
    <w:rsid w:val="00931871"/>
    <w:rsid w:val="00932399"/>
    <w:rsid w:val="00933F19"/>
    <w:rsid w:val="0093429D"/>
    <w:rsid w:val="00934532"/>
    <w:rsid w:val="009349EC"/>
    <w:rsid w:val="00934C26"/>
    <w:rsid w:val="00935F1D"/>
    <w:rsid w:val="00936CBF"/>
    <w:rsid w:val="0093725C"/>
    <w:rsid w:val="009374FA"/>
    <w:rsid w:val="00937DD8"/>
    <w:rsid w:val="009403E2"/>
    <w:rsid w:val="0094057B"/>
    <w:rsid w:val="00941118"/>
    <w:rsid w:val="00941523"/>
    <w:rsid w:val="00941FB3"/>
    <w:rsid w:val="0094214D"/>
    <w:rsid w:val="009421B3"/>
    <w:rsid w:val="009422D1"/>
    <w:rsid w:val="00942747"/>
    <w:rsid w:val="0094338D"/>
    <w:rsid w:val="009435BE"/>
    <w:rsid w:val="00943D57"/>
    <w:rsid w:val="00943EAF"/>
    <w:rsid w:val="00943F57"/>
    <w:rsid w:val="009445A2"/>
    <w:rsid w:val="00944850"/>
    <w:rsid w:val="009449BF"/>
    <w:rsid w:val="0094509D"/>
    <w:rsid w:val="009453F8"/>
    <w:rsid w:val="00946559"/>
    <w:rsid w:val="00946BD1"/>
    <w:rsid w:val="009477AF"/>
    <w:rsid w:val="00947B17"/>
    <w:rsid w:val="0095124F"/>
    <w:rsid w:val="00951C33"/>
    <w:rsid w:val="009523E0"/>
    <w:rsid w:val="00952878"/>
    <w:rsid w:val="00953A50"/>
    <w:rsid w:val="00954359"/>
    <w:rsid w:val="00955125"/>
    <w:rsid w:val="00955B14"/>
    <w:rsid w:val="00956D7B"/>
    <w:rsid w:val="00957B61"/>
    <w:rsid w:val="0096064D"/>
    <w:rsid w:val="00960FE7"/>
    <w:rsid w:val="00962237"/>
    <w:rsid w:val="0096226B"/>
    <w:rsid w:val="00962463"/>
    <w:rsid w:val="00962CF2"/>
    <w:rsid w:val="0096339B"/>
    <w:rsid w:val="009649F3"/>
    <w:rsid w:val="00964F86"/>
    <w:rsid w:val="009651C3"/>
    <w:rsid w:val="00965555"/>
    <w:rsid w:val="0096557C"/>
    <w:rsid w:val="00965A9D"/>
    <w:rsid w:val="0096688F"/>
    <w:rsid w:val="009669AF"/>
    <w:rsid w:val="009707AE"/>
    <w:rsid w:val="00970C44"/>
    <w:rsid w:val="009719E4"/>
    <w:rsid w:val="00973AD6"/>
    <w:rsid w:val="00973D13"/>
    <w:rsid w:val="00973E48"/>
    <w:rsid w:val="009745A2"/>
    <w:rsid w:val="00975102"/>
    <w:rsid w:val="00975517"/>
    <w:rsid w:val="0097571B"/>
    <w:rsid w:val="0097652C"/>
    <w:rsid w:val="00981073"/>
    <w:rsid w:val="00981B8A"/>
    <w:rsid w:val="00981D80"/>
    <w:rsid w:val="00982ED9"/>
    <w:rsid w:val="00983437"/>
    <w:rsid w:val="00983472"/>
    <w:rsid w:val="009834DF"/>
    <w:rsid w:val="0098433C"/>
    <w:rsid w:val="00984421"/>
    <w:rsid w:val="00984834"/>
    <w:rsid w:val="009852F6"/>
    <w:rsid w:val="00985464"/>
    <w:rsid w:val="00986ED6"/>
    <w:rsid w:val="0098721C"/>
    <w:rsid w:val="00987296"/>
    <w:rsid w:val="00987C33"/>
    <w:rsid w:val="00987FEA"/>
    <w:rsid w:val="00990DFC"/>
    <w:rsid w:val="00990E27"/>
    <w:rsid w:val="009919C6"/>
    <w:rsid w:val="009939CE"/>
    <w:rsid w:val="009945F5"/>
    <w:rsid w:val="009962CA"/>
    <w:rsid w:val="009964B1"/>
    <w:rsid w:val="009A05E9"/>
    <w:rsid w:val="009A095F"/>
    <w:rsid w:val="009A0A51"/>
    <w:rsid w:val="009A1BA5"/>
    <w:rsid w:val="009A3492"/>
    <w:rsid w:val="009A41C7"/>
    <w:rsid w:val="009A4284"/>
    <w:rsid w:val="009A44D6"/>
    <w:rsid w:val="009A5065"/>
    <w:rsid w:val="009A5825"/>
    <w:rsid w:val="009A5FD0"/>
    <w:rsid w:val="009A684F"/>
    <w:rsid w:val="009A7110"/>
    <w:rsid w:val="009A7A6A"/>
    <w:rsid w:val="009A7D2C"/>
    <w:rsid w:val="009B19EF"/>
    <w:rsid w:val="009B23BA"/>
    <w:rsid w:val="009B26EA"/>
    <w:rsid w:val="009B35BB"/>
    <w:rsid w:val="009B372B"/>
    <w:rsid w:val="009B3981"/>
    <w:rsid w:val="009B3D49"/>
    <w:rsid w:val="009B3DC3"/>
    <w:rsid w:val="009B4253"/>
    <w:rsid w:val="009B4C26"/>
    <w:rsid w:val="009B522A"/>
    <w:rsid w:val="009B5306"/>
    <w:rsid w:val="009B572E"/>
    <w:rsid w:val="009B5B91"/>
    <w:rsid w:val="009B6167"/>
    <w:rsid w:val="009B6BEE"/>
    <w:rsid w:val="009B7C2A"/>
    <w:rsid w:val="009C04D5"/>
    <w:rsid w:val="009C05B5"/>
    <w:rsid w:val="009C0A9F"/>
    <w:rsid w:val="009C2773"/>
    <w:rsid w:val="009C3D70"/>
    <w:rsid w:val="009C44EF"/>
    <w:rsid w:val="009C4FBE"/>
    <w:rsid w:val="009C5423"/>
    <w:rsid w:val="009C5758"/>
    <w:rsid w:val="009C61E8"/>
    <w:rsid w:val="009C6791"/>
    <w:rsid w:val="009C7074"/>
    <w:rsid w:val="009C7565"/>
    <w:rsid w:val="009C75D9"/>
    <w:rsid w:val="009C77DA"/>
    <w:rsid w:val="009D0BBB"/>
    <w:rsid w:val="009D0FA7"/>
    <w:rsid w:val="009D1CBA"/>
    <w:rsid w:val="009D21EE"/>
    <w:rsid w:val="009D227D"/>
    <w:rsid w:val="009D4DA5"/>
    <w:rsid w:val="009D4EBB"/>
    <w:rsid w:val="009D51AA"/>
    <w:rsid w:val="009D531B"/>
    <w:rsid w:val="009D5886"/>
    <w:rsid w:val="009D5E5B"/>
    <w:rsid w:val="009D607F"/>
    <w:rsid w:val="009D6271"/>
    <w:rsid w:val="009D6803"/>
    <w:rsid w:val="009E0023"/>
    <w:rsid w:val="009E06C4"/>
    <w:rsid w:val="009E1CEA"/>
    <w:rsid w:val="009E1F27"/>
    <w:rsid w:val="009E3D3F"/>
    <w:rsid w:val="009E3D90"/>
    <w:rsid w:val="009E5490"/>
    <w:rsid w:val="009E5D2F"/>
    <w:rsid w:val="009E6BC9"/>
    <w:rsid w:val="009F0DC3"/>
    <w:rsid w:val="009F14FF"/>
    <w:rsid w:val="009F1FBF"/>
    <w:rsid w:val="009F24F8"/>
    <w:rsid w:val="009F29E1"/>
    <w:rsid w:val="009F3F6D"/>
    <w:rsid w:val="009F4674"/>
    <w:rsid w:val="009F5E74"/>
    <w:rsid w:val="009F6619"/>
    <w:rsid w:val="009F6DF4"/>
    <w:rsid w:val="009F789F"/>
    <w:rsid w:val="00A0020A"/>
    <w:rsid w:val="00A00574"/>
    <w:rsid w:val="00A01CAE"/>
    <w:rsid w:val="00A0204C"/>
    <w:rsid w:val="00A02512"/>
    <w:rsid w:val="00A03627"/>
    <w:rsid w:val="00A04BF5"/>
    <w:rsid w:val="00A05175"/>
    <w:rsid w:val="00A05243"/>
    <w:rsid w:val="00A05E88"/>
    <w:rsid w:val="00A0700E"/>
    <w:rsid w:val="00A07327"/>
    <w:rsid w:val="00A075FD"/>
    <w:rsid w:val="00A101B7"/>
    <w:rsid w:val="00A12D33"/>
    <w:rsid w:val="00A12FE0"/>
    <w:rsid w:val="00A13BDF"/>
    <w:rsid w:val="00A1488F"/>
    <w:rsid w:val="00A14B50"/>
    <w:rsid w:val="00A1503B"/>
    <w:rsid w:val="00A1647B"/>
    <w:rsid w:val="00A206BC"/>
    <w:rsid w:val="00A20D00"/>
    <w:rsid w:val="00A21C6F"/>
    <w:rsid w:val="00A236AA"/>
    <w:rsid w:val="00A23BC3"/>
    <w:rsid w:val="00A24848"/>
    <w:rsid w:val="00A24AB2"/>
    <w:rsid w:val="00A24FB4"/>
    <w:rsid w:val="00A2505B"/>
    <w:rsid w:val="00A252B6"/>
    <w:rsid w:val="00A25716"/>
    <w:rsid w:val="00A25D08"/>
    <w:rsid w:val="00A26E68"/>
    <w:rsid w:val="00A2785F"/>
    <w:rsid w:val="00A31115"/>
    <w:rsid w:val="00A32B0B"/>
    <w:rsid w:val="00A32B3D"/>
    <w:rsid w:val="00A34C96"/>
    <w:rsid w:val="00A3531F"/>
    <w:rsid w:val="00A3596B"/>
    <w:rsid w:val="00A361BC"/>
    <w:rsid w:val="00A37E90"/>
    <w:rsid w:val="00A40109"/>
    <w:rsid w:val="00A4201B"/>
    <w:rsid w:val="00A422CF"/>
    <w:rsid w:val="00A42F02"/>
    <w:rsid w:val="00A43747"/>
    <w:rsid w:val="00A43A8F"/>
    <w:rsid w:val="00A4482F"/>
    <w:rsid w:val="00A45BC6"/>
    <w:rsid w:val="00A468A4"/>
    <w:rsid w:val="00A46A0F"/>
    <w:rsid w:val="00A470DE"/>
    <w:rsid w:val="00A50ABB"/>
    <w:rsid w:val="00A50C23"/>
    <w:rsid w:val="00A51FB4"/>
    <w:rsid w:val="00A52437"/>
    <w:rsid w:val="00A52532"/>
    <w:rsid w:val="00A52978"/>
    <w:rsid w:val="00A536E2"/>
    <w:rsid w:val="00A53AA2"/>
    <w:rsid w:val="00A53D8E"/>
    <w:rsid w:val="00A554B7"/>
    <w:rsid w:val="00A5621E"/>
    <w:rsid w:val="00A57906"/>
    <w:rsid w:val="00A579FA"/>
    <w:rsid w:val="00A57E99"/>
    <w:rsid w:val="00A6137A"/>
    <w:rsid w:val="00A6182F"/>
    <w:rsid w:val="00A618A1"/>
    <w:rsid w:val="00A624EE"/>
    <w:rsid w:val="00A62B0B"/>
    <w:rsid w:val="00A6317F"/>
    <w:rsid w:val="00A63357"/>
    <w:rsid w:val="00A633C3"/>
    <w:rsid w:val="00A640A8"/>
    <w:rsid w:val="00A645FE"/>
    <w:rsid w:val="00A64DC7"/>
    <w:rsid w:val="00A64F90"/>
    <w:rsid w:val="00A652EA"/>
    <w:rsid w:val="00A652FA"/>
    <w:rsid w:val="00A65B61"/>
    <w:rsid w:val="00A65E21"/>
    <w:rsid w:val="00A662AE"/>
    <w:rsid w:val="00A66E7D"/>
    <w:rsid w:val="00A66EB1"/>
    <w:rsid w:val="00A6785F"/>
    <w:rsid w:val="00A71556"/>
    <w:rsid w:val="00A71E9F"/>
    <w:rsid w:val="00A72814"/>
    <w:rsid w:val="00A72DC1"/>
    <w:rsid w:val="00A72F3F"/>
    <w:rsid w:val="00A7425B"/>
    <w:rsid w:val="00A74509"/>
    <w:rsid w:val="00A74EE0"/>
    <w:rsid w:val="00A75173"/>
    <w:rsid w:val="00A7532A"/>
    <w:rsid w:val="00A759A7"/>
    <w:rsid w:val="00A75AB8"/>
    <w:rsid w:val="00A764BF"/>
    <w:rsid w:val="00A76AA7"/>
    <w:rsid w:val="00A770DD"/>
    <w:rsid w:val="00A7782F"/>
    <w:rsid w:val="00A8049B"/>
    <w:rsid w:val="00A80949"/>
    <w:rsid w:val="00A813C2"/>
    <w:rsid w:val="00A81FED"/>
    <w:rsid w:val="00A82197"/>
    <w:rsid w:val="00A84202"/>
    <w:rsid w:val="00A85253"/>
    <w:rsid w:val="00A8567A"/>
    <w:rsid w:val="00A86978"/>
    <w:rsid w:val="00A8699B"/>
    <w:rsid w:val="00A86F52"/>
    <w:rsid w:val="00A870F8"/>
    <w:rsid w:val="00A874A5"/>
    <w:rsid w:val="00A87B12"/>
    <w:rsid w:val="00A87D43"/>
    <w:rsid w:val="00A90342"/>
    <w:rsid w:val="00A90712"/>
    <w:rsid w:val="00A91972"/>
    <w:rsid w:val="00A9234B"/>
    <w:rsid w:val="00A93229"/>
    <w:rsid w:val="00A935A0"/>
    <w:rsid w:val="00A94DB8"/>
    <w:rsid w:val="00A95902"/>
    <w:rsid w:val="00A9592E"/>
    <w:rsid w:val="00A95DA5"/>
    <w:rsid w:val="00A970AD"/>
    <w:rsid w:val="00A97CB2"/>
    <w:rsid w:val="00A97D71"/>
    <w:rsid w:val="00AA15D1"/>
    <w:rsid w:val="00AA30CD"/>
    <w:rsid w:val="00AA382A"/>
    <w:rsid w:val="00AA3EE0"/>
    <w:rsid w:val="00AA514B"/>
    <w:rsid w:val="00AA58C6"/>
    <w:rsid w:val="00AA6DC6"/>
    <w:rsid w:val="00AA795E"/>
    <w:rsid w:val="00AB09A0"/>
    <w:rsid w:val="00AB0BE0"/>
    <w:rsid w:val="00AB1349"/>
    <w:rsid w:val="00AB241B"/>
    <w:rsid w:val="00AB3780"/>
    <w:rsid w:val="00AB4218"/>
    <w:rsid w:val="00AB455B"/>
    <w:rsid w:val="00AB5371"/>
    <w:rsid w:val="00AB550E"/>
    <w:rsid w:val="00AB5526"/>
    <w:rsid w:val="00AB5B78"/>
    <w:rsid w:val="00AB61C4"/>
    <w:rsid w:val="00AB75DE"/>
    <w:rsid w:val="00AB7753"/>
    <w:rsid w:val="00AB7BB1"/>
    <w:rsid w:val="00AB7CC9"/>
    <w:rsid w:val="00AC05EE"/>
    <w:rsid w:val="00AC2066"/>
    <w:rsid w:val="00AC2805"/>
    <w:rsid w:val="00AC373E"/>
    <w:rsid w:val="00AC47C7"/>
    <w:rsid w:val="00AC57AF"/>
    <w:rsid w:val="00AC5A94"/>
    <w:rsid w:val="00AC5FD0"/>
    <w:rsid w:val="00AC783D"/>
    <w:rsid w:val="00AD08DD"/>
    <w:rsid w:val="00AD0FBB"/>
    <w:rsid w:val="00AD140A"/>
    <w:rsid w:val="00AD15F2"/>
    <w:rsid w:val="00AD34CE"/>
    <w:rsid w:val="00AD53C3"/>
    <w:rsid w:val="00AD57BC"/>
    <w:rsid w:val="00AD5860"/>
    <w:rsid w:val="00AD58F7"/>
    <w:rsid w:val="00AD5C33"/>
    <w:rsid w:val="00AD5C53"/>
    <w:rsid w:val="00AD6EB7"/>
    <w:rsid w:val="00AE0204"/>
    <w:rsid w:val="00AE0453"/>
    <w:rsid w:val="00AE0671"/>
    <w:rsid w:val="00AE0ED0"/>
    <w:rsid w:val="00AE1484"/>
    <w:rsid w:val="00AE2CBB"/>
    <w:rsid w:val="00AE2CCE"/>
    <w:rsid w:val="00AE3D13"/>
    <w:rsid w:val="00AE558E"/>
    <w:rsid w:val="00AE631F"/>
    <w:rsid w:val="00AE660D"/>
    <w:rsid w:val="00AE7E37"/>
    <w:rsid w:val="00AE7EA3"/>
    <w:rsid w:val="00AF01E1"/>
    <w:rsid w:val="00AF02FC"/>
    <w:rsid w:val="00AF241D"/>
    <w:rsid w:val="00AF24E3"/>
    <w:rsid w:val="00AF3033"/>
    <w:rsid w:val="00AF4C4B"/>
    <w:rsid w:val="00AF56F6"/>
    <w:rsid w:val="00AF7478"/>
    <w:rsid w:val="00B000AD"/>
    <w:rsid w:val="00B00952"/>
    <w:rsid w:val="00B00DF9"/>
    <w:rsid w:val="00B01357"/>
    <w:rsid w:val="00B021A5"/>
    <w:rsid w:val="00B0299A"/>
    <w:rsid w:val="00B035C9"/>
    <w:rsid w:val="00B03675"/>
    <w:rsid w:val="00B036AA"/>
    <w:rsid w:val="00B03A2A"/>
    <w:rsid w:val="00B04A80"/>
    <w:rsid w:val="00B0570F"/>
    <w:rsid w:val="00B06176"/>
    <w:rsid w:val="00B06C69"/>
    <w:rsid w:val="00B070A6"/>
    <w:rsid w:val="00B10093"/>
    <w:rsid w:val="00B101D5"/>
    <w:rsid w:val="00B10617"/>
    <w:rsid w:val="00B10C3F"/>
    <w:rsid w:val="00B117CE"/>
    <w:rsid w:val="00B13A56"/>
    <w:rsid w:val="00B14267"/>
    <w:rsid w:val="00B144BF"/>
    <w:rsid w:val="00B14AAE"/>
    <w:rsid w:val="00B15598"/>
    <w:rsid w:val="00B15A2A"/>
    <w:rsid w:val="00B169A5"/>
    <w:rsid w:val="00B16B60"/>
    <w:rsid w:val="00B17C3D"/>
    <w:rsid w:val="00B20434"/>
    <w:rsid w:val="00B2084A"/>
    <w:rsid w:val="00B2160F"/>
    <w:rsid w:val="00B21FDB"/>
    <w:rsid w:val="00B22629"/>
    <w:rsid w:val="00B2305A"/>
    <w:rsid w:val="00B23BC3"/>
    <w:rsid w:val="00B24774"/>
    <w:rsid w:val="00B2497F"/>
    <w:rsid w:val="00B2573D"/>
    <w:rsid w:val="00B26B35"/>
    <w:rsid w:val="00B27022"/>
    <w:rsid w:val="00B2743D"/>
    <w:rsid w:val="00B274C1"/>
    <w:rsid w:val="00B304C0"/>
    <w:rsid w:val="00B30B00"/>
    <w:rsid w:val="00B31244"/>
    <w:rsid w:val="00B314F7"/>
    <w:rsid w:val="00B319A5"/>
    <w:rsid w:val="00B34287"/>
    <w:rsid w:val="00B34972"/>
    <w:rsid w:val="00B35116"/>
    <w:rsid w:val="00B3718F"/>
    <w:rsid w:val="00B377CE"/>
    <w:rsid w:val="00B37A34"/>
    <w:rsid w:val="00B37C5B"/>
    <w:rsid w:val="00B4017B"/>
    <w:rsid w:val="00B40768"/>
    <w:rsid w:val="00B408CE"/>
    <w:rsid w:val="00B40D58"/>
    <w:rsid w:val="00B41646"/>
    <w:rsid w:val="00B420E7"/>
    <w:rsid w:val="00B446B2"/>
    <w:rsid w:val="00B45151"/>
    <w:rsid w:val="00B45F21"/>
    <w:rsid w:val="00B4749B"/>
    <w:rsid w:val="00B500FC"/>
    <w:rsid w:val="00B508A2"/>
    <w:rsid w:val="00B50AE2"/>
    <w:rsid w:val="00B51817"/>
    <w:rsid w:val="00B51AB1"/>
    <w:rsid w:val="00B52233"/>
    <w:rsid w:val="00B5223C"/>
    <w:rsid w:val="00B54588"/>
    <w:rsid w:val="00B55457"/>
    <w:rsid w:val="00B567D0"/>
    <w:rsid w:val="00B570A4"/>
    <w:rsid w:val="00B62268"/>
    <w:rsid w:val="00B6249B"/>
    <w:rsid w:val="00B624AD"/>
    <w:rsid w:val="00B63A38"/>
    <w:rsid w:val="00B65441"/>
    <w:rsid w:val="00B656FB"/>
    <w:rsid w:val="00B6626E"/>
    <w:rsid w:val="00B673F5"/>
    <w:rsid w:val="00B6799D"/>
    <w:rsid w:val="00B67FE6"/>
    <w:rsid w:val="00B71103"/>
    <w:rsid w:val="00B71328"/>
    <w:rsid w:val="00B71A1D"/>
    <w:rsid w:val="00B71A95"/>
    <w:rsid w:val="00B71C5F"/>
    <w:rsid w:val="00B72A07"/>
    <w:rsid w:val="00B73AD0"/>
    <w:rsid w:val="00B75170"/>
    <w:rsid w:val="00B7520C"/>
    <w:rsid w:val="00B755C8"/>
    <w:rsid w:val="00B763F6"/>
    <w:rsid w:val="00B76C09"/>
    <w:rsid w:val="00B76FFC"/>
    <w:rsid w:val="00B77D29"/>
    <w:rsid w:val="00B77F08"/>
    <w:rsid w:val="00B82867"/>
    <w:rsid w:val="00B82DBE"/>
    <w:rsid w:val="00B8362C"/>
    <w:rsid w:val="00B836D9"/>
    <w:rsid w:val="00B83793"/>
    <w:rsid w:val="00B83F0E"/>
    <w:rsid w:val="00B84A07"/>
    <w:rsid w:val="00B84DDC"/>
    <w:rsid w:val="00B85514"/>
    <w:rsid w:val="00B86945"/>
    <w:rsid w:val="00B8754E"/>
    <w:rsid w:val="00B87ED1"/>
    <w:rsid w:val="00B90850"/>
    <w:rsid w:val="00B90866"/>
    <w:rsid w:val="00B91B78"/>
    <w:rsid w:val="00B91E7D"/>
    <w:rsid w:val="00B95A28"/>
    <w:rsid w:val="00B96129"/>
    <w:rsid w:val="00B96941"/>
    <w:rsid w:val="00B974B1"/>
    <w:rsid w:val="00BA012E"/>
    <w:rsid w:val="00BA05E2"/>
    <w:rsid w:val="00BA0AAA"/>
    <w:rsid w:val="00BA17F4"/>
    <w:rsid w:val="00BA2157"/>
    <w:rsid w:val="00BA33FB"/>
    <w:rsid w:val="00BA3C77"/>
    <w:rsid w:val="00BA459B"/>
    <w:rsid w:val="00BA49FB"/>
    <w:rsid w:val="00BA4BB2"/>
    <w:rsid w:val="00BA5163"/>
    <w:rsid w:val="00BA5976"/>
    <w:rsid w:val="00BA75E4"/>
    <w:rsid w:val="00BA7F97"/>
    <w:rsid w:val="00BB0262"/>
    <w:rsid w:val="00BB0803"/>
    <w:rsid w:val="00BB0A14"/>
    <w:rsid w:val="00BB1320"/>
    <w:rsid w:val="00BB15FF"/>
    <w:rsid w:val="00BB203A"/>
    <w:rsid w:val="00BB4250"/>
    <w:rsid w:val="00BB4B76"/>
    <w:rsid w:val="00BB6064"/>
    <w:rsid w:val="00BB7216"/>
    <w:rsid w:val="00BB73F9"/>
    <w:rsid w:val="00BB76E9"/>
    <w:rsid w:val="00BB7A84"/>
    <w:rsid w:val="00BC06E8"/>
    <w:rsid w:val="00BC0C4F"/>
    <w:rsid w:val="00BC2AD3"/>
    <w:rsid w:val="00BC32D7"/>
    <w:rsid w:val="00BC3860"/>
    <w:rsid w:val="00BC4AC9"/>
    <w:rsid w:val="00BC65FC"/>
    <w:rsid w:val="00BC680C"/>
    <w:rsid w:val="00BD038F"/>
    <w:rsid w:val="00BD0DB3"/>
    <w:rsid w:val="00BD0EB2"/>
    <w:rsid w:val="00BD109F"/>
    <w:rsid w:val="00BD19D2"/>
    <w:rsid w:val="00BD1F8D"/>
    <w:rsid w:val="00BD2171"/>
    <w:rsid w:val="00BD26CE"/>
    <w:rsid w:val="00BD2E5C"/>
    <w:rsid w:val="00BD4A35"/>
    <w:rsid w:val="00BD5C74"/>
    <w:rsid w:val="00BD60D2"/>
    <w:rsid w:val="00BD744E"/>
    <w:rsid w:val="00BD7828"/>
    <w:rsid w:val="00BE06A4"/>
    <w:rsid w:val="00BE0D10"/>
    <w:rsid w:val="00BE1008"/>
    <w:rsid w:val="00BE1010"/>
    <w:rsid w:val="00BE1300"/>
    <w:rsid w:val="00BE2A37"/>
    <w:rsid w:val="00BE3212"/>
    <w:rsid w:val="00BE3919"/>
    <w:rsid w:val="00BE46E3"/>
    <w:rsid w:val="00BE5D64"/>
    <w:rsid w:val="00BE71F7"/>
    <w:rsid w:val="00BE74AA"/>
    <w:rsid w:val="00BE7674"/>
    <w:rsid w:val="00BF04D4"/>
    <w:rsid w:val="00BF0C60"/>
    <w:rsid w:val="00BF129D"/>
    <w:rsid w:val="00BF2A2C"/>
    <w:rsid w:val="00BF3BA5"/>
    <w:rsid w:val="00BF3C3B"/>
    <w:rsid w:val="00BF4A18"/>
    <w:rsid w:val="00BF4B51"/>
    <w:rsid w:val="00BF5153"/>
    <w:rsid w:val="00BF6EB6"/>
    <w:rsid w:val="00BF774B"/>
    <w:rsid w:val="00BF775C"/>
    <w:rsid w:val="00BF788E"/>
    <w:rsid w:val="00BF7ADC"/>
    <w:rsid w:val="00C001C1"/>
    <w:rsid w:val="00C005CD"/>
    <w:rsid w:val="00C01AEE"/>
    <w:rsid w:val="00C01D37"/>
    <w:rsid w:val="00C025F6"/>
    <w:rsid w:val="00C026FA"/>
    <w:rsid w:val="00C028CF"/>
    <w:rsid w:val="00C02D23"/>
    <w:rsid w:val="00C0312E"/>
    <w:rsid w:val="00C032F4"/>
    <w:rsid w:val="00C03EA3"/>
    <w:rsid w:val="00C0444A"/>
    <w:rsid w:val="00C04EC8"/>
    <w:rsid w:val="00C0556A"/>
    <w:rsid w:val="00C057E3"/>
    <w:rsid w:val="00C05872"/>
    <w:rsid w:val="00C05B93"/>
    <w:rsid w:val="00C06248"/>
    <w:rsid w:val="00C06633"/>
    <w:rsid w:val="00C076D9"/>
    <w:rsid w:val="00C0786B"/>
    <w:rsid w:val="00C1043A"/>
    <w:rsid w:val="00C10AF8"/>
    <w:rsid w:val="00C112CB"/>
    <w:rsid w:val="00C11A25"/>
    <w:rsid w:val="00C128B6"/>
    <w:rsid w:val="00C12BAC"/>
    <w:rsid w:val="00C16A34"/>
    <w:rsid w:val="00C1712E"/>
    <w:rsid w:val="00C171F2"/>
    <w:rsid w:val="00C17E45"/>
    <w:rsid w:val="00C200A4"/>
    <w:rsid w:val="00C206D9"/>
    <w:rsid w:val="00C215F5"/>
    <w:rsid w:val="00C21F7F"/>
    <w:rsid w:val="00C22328"/>
    <w:rsid w:val="00C2245A"/>
    <w:rsid w:val="00C228DD"/>
    <w:rsid w:val="00C23BFD"/>
    <w:rsid w:val="00C24369"/>
    <w:rsid w:val="00C249B5"/>
    <w:rsid w:val="00C24F90"/>
    <w:rsid w:val="00C2543C"/>
    <w:rsid w:val="00C254BA"/>
    <w:rsid w:val="00C25762"/>
    <w:rsid w:val="00C273C7"/>
    <w:rsid w:val="00C274DA"/>
    <w:rsid w:val="00C279FB"/>
    <w:rsid w:val="00C27BD3"/>
    <w:rsid w:val="00C27CEC"/>
    <w:rsid w:val="00C3078C"/>
    <w:rsid w:val="00C328C0"/>
    <w:rsid w:val="00C33336"/>
    <w:rsid w:val="00C339E7"/>
    <w:rsid w:val="00C34671"/>
    <w:rsid w:val="00C357C1"/>
    <w:rsid w:val="00C37457"/>
    <w:rsid w:val="00C405A5"/>
    <w:rsid w:val="00C40CBF"/>
    <w:rsid w:val="00C40CF6"/>
    <w:rsid w:val="00C40EE1"/>
    <w:rsid w:val="00C41072"/>
    <w:rsid w:val="00C41402"/>
    <w:rsid w:val="00C41D01"/>
    <w:rsid w:val="00C4210F"/>
    <w:rsid w:val="00C42B1E"/>
    <w:rsid w:val="00C439BD"/>
    <w:rsid w:val="00C43AA7"/>
    <w:rsid w:val="00C43B2C"/>
    <w:rsid w:val="00C43BA5"/>
    <w:rsid w:val="00C43E39"/>
    <w:rsid w:val="00C44A27"/>
    <w:rsid w:val="00C4729D"/>
    <w:rsid w:val="00C479E6"/>
    <w:rsid w:val="00C47A50"/>
    <w:rsid w:val="00C47F19"/>
    <w:rsid w:val="00C47F39"/>
    <w:rsid w:val="00C502EB"/>
    <w:rsid w:val="00C50DEF"/>
    <w:rsid w:val="00C511F1"/>
    <w:rsid w:val="00C51B42"/>
    <w:rsid w:val="00C51D14"/>
    <w:rsid w:val="00C51E04"/>
    <w:rsid w:val="00C5577F"/>
    <w:rsid w:val="00C55D31"/>
    <w:rsid w:val="00C5670A"/>
    <w:rsid w:val="00C576F2"/>
    <w:rsid w:val="00C6048D"/>
    <w:rsid w:val="00C610FA"/>
    <w:rsid w:val="00C64123"/>
    <w:rsid w:val="00C6642B"/>
    <w:rsid w:val="00C665BE"/>
    <w:rsid w:val="00C66E18"/>
    <w:rsid w:val="00C674DC"/>
    <w:rsid w:val="00C70D3F"/>
    <w:rsid w:val="00C71200"/>
    <w:rsid w:val="00C73AD5"/>
    <w:rsid w:val="00C74212"/>
    <w:rsid w:val="00C75CFE"/>
    <w:rsid w:val="00C75DBF"/>
    <w:rsid w:val="00C768EC"/>
    <w:rsid w:val="00C76C8B"/>
    <w:rsid w:val="00C77261"/>
    <w:rsid w:val="00C7753F"/>
    <w:rsid w:val="00C8055C"/>
    <w:rsid w:val="00C80C6F"/>
    <w:rsid w:val="00C80D23"/>
    <w:rsid w:val="00C80F7C"/>
    <w:rsid w:val="00C816AC"/>
    <w:rsid w:val="00C81AE4"/>
    <w:rsid w:val="00C822D1"/>
    <w:rsid w:val="00C824EB"/>
    <w:rsid w:val="00C82660"/>
    <w:rsid w:val="00C82A68"/>
    <w:rsid w:val="00C8382C"/>
    <w:rsid w:val="00C83E0D"/>
    <w:rsid w:val="00C84776"/>
    <w:rsid w:val="00C859E3"/>
    <w:rsid w:val="00C90966"/>
    <w:rsid w:val="00C90F4B"/>
    <w:rsid w:val="00C91A0D"/>
    <w:rsid w:val="00C91F84"/>
    <w:rsid w:val="00C94BE7"/>
    <w:rsid w:val="00C95395"/>
    <w:rsid w:val="00C956B9"/>
    <w:rsid w:val="00C962BF"/>
    <w:rsid w:val="00C96CCE"/>
    <w:rsid w:val="00C9778F"/>
    <w:rsid w:val="00C97851"/>
    <w:rsid w:val="00C97B6E"/>
    <w:rsid w:val="00C97E88"/>
    <w:rsid w:val="00CA094A"/>
    <w:rsid w:val="00CA10EE"/>
    <w:rsid w:val="00CA1CC8"/>
    <w:rsid w:val="00CA1D74"/>
    <w:rsid w:val="00CA2DE7"/>
    <w:rsid w:val="00CA2EB2"/>
    <w:rsid w:val="00CA336B"/>
    <w:rsid w:val="00CA39E2"/>
    <w:rsid w:val="00CA4E50"/>
    <w:rsid w:val="00CA50AD"/>
    <w:rsid w:val="00CA562F"/>
    <w:rsid w:val="00CA58F7"/>
    <w:rsid w:val="00CA59DB"/>
    <w:rsid w:val="00CA645B"/>
    <w:rsid w:val="00CA7206"/>
    <w:rsid w:val="00CA7C0B"/>
    <w:rsid w:val="00CA7D76"/>
    <w:rsid w:val="00CA7FE3"/>
    <w:rsid w:val="00CB05E0"/>
    <w:rsid w:val="00CB0E52"/>
    <w:rsid w:val="00CB1A51"/>
    <w:rsid w:val="00CB2147"/>
    <w:rsid w:val="00CB21DC"/>
    <w:rsid w:val="00CB2AF9"/>
    <w:rsid w:val="00CB4C0E"/>
    <w:rsid w:val="00CB4EF0"/>
    <w:rsid w:val="00CB4F2C"/>
    <w:rsid w:val="00CB501A"/>
    <w:rsid w:val="00CB6DFD"/>
    <w:rsid w:val="00CB7B06"/>
    <w:rsid w:val="00CB7EC3"/>
    <w:rsid w:val="00CC137F"/>
    <w:rsid w:val="00CC1797"/>
    <w:rsid w:val="00CC184C"/>
    <w:rsid w:val="00CC1B3B"/>
    <w:rsid w:val="00CC28C8"/>
    <w:rsid w:val="00CC2A7C"/>
    <w:rsid w:val="00CC3859"/>
    <w:rsid w:val="00CC469B"/>
    <w:rsid w:val="00CC78EE"/>
    <w:rsid w:val="00CD08E3"/>
    <w:rsid w:val="00CD1B53"/>
    <w:rsid w:val="00CD219E"/>
    <w:rsid w:val="00CD2723"/>
    <w:rsid w:val="00CD291D"/>
    <w:rsid w:val="00CD2BC5"/>
    <w:rsid w:val="00CD3827"/>
    <w:rsid w:val="00CD49BC"/>
    <w:rsid w:val="00CD5C8D"/>
    <w:rsid w:val="00CD630F"/>
    <w:rsid w:val="00CD6FDD"/>
    <w:rsid w:val="00CD7F86"/>
    <w:rsid w:val="00CE0FF3"/>
    <w:rsid w:val="00CE1199"/>
    <w:rsid w:val="00CE14DD"/>
    <w:rsid w:val="00CE1FB2"/>
    <w:rsid w:val="00CE2B23"/>
    <w:rsid w:val="00CE319E"/>
    <w:rsid w:val="00CE334F"/>
    <w:rsid w:val="00CE341E"/>
    <w:rsid w:val="00CE3BA1"/>
    <w:rsid w:val="00CE4CD8"/>
    <w:rsid w:val="00CE55BA"/>
    <w:rsid w:val="00CE5870"/>
    <w:rsid w:val="00CE645E"/>
    <w:rsid w:val="00CE6AA1"/>
    <w:rsid w:val="00CE6AE5"/>
    <w:rsid w:val="00CE7EA0"/>
    <w:rsid w:val="00CF0B56"/>
    <w:rsid w:val="00CF10C4"/>
    <w:rsid w:val="00CF1171"/>
    <w:rsid w:val="00CF15FC"/>
    <w:rsid w:val="00CF24D6"/>
    <w:rsid w:val="00CF2A57"/>
    <w:rsid w:val="00CF2E24"/>
    <w:rsid w:val="00CF337E"/>
    <w:rsid w:val="00CF3BDF"/>
    <w:rsid w:val="00CF5A7F"/>
    <w:rsid w:val="00CF64E9"/>
    <w:rsid w:val="00CF791F"/>
    <w:rsid w:val="00D013A9"/>
    <w:rsid w:val="00D02984"/>
    <w:rsid w:val="00D032E0"/>
    <w:rsid w:val="00D03562"/>
    <w:rsid w:val="00D03B6B"/>
    <w:rsid w:val="00D059C4"/>
    <w:rsid w:val="00D06726"/>
    <w:rsid w:val="00D06D38"/>
    <w:rsid w:val="00D10BDD"/>
    <w:rsid w:val="00D120AC"/>
    <w:rsid w:val="00D12F8D"/>
    <w:rsid w:val="00D159B9"/>
    <w:rsid w:val="00D17252"/>
    <w:rsid w:val="00D17300"/>
    <w:rsid w:val="00D173F7"/>
    <w:rsid w:val="00D1759B"/>
    <w:rsid w:val="00D17D36"/>
    <w:rsid w:val="00D21F0B"/>
    <w:rsid w:val="00D223D9"/>
    <w:rsid w:val="00D24028"/>
    <w:rsid w:val="00D24D17"/>
    <w:rsid w:val="00D24E37"/>
    <w:rsid w:val="00D25386"/>
    <w:rsid w:val="00D25B74"/>
    <w:rsid w:val="00D25EBE"/>
    <w:rsid w:val="00D269A5"/>
    <w:rsid w:val="00D27834"/>
    <w:rsid w:val="00D27BD6"/>
    <w:rsid w:val="00D30510"/>
    <w:rsid w:val="00D309EF"/>
    <w:rsid w:val="00D311D3"/>
    <w:rsid w:val="00D31D3F"/>
    <w:rsid w:val="00D32847"/>
    <w:rsid w:val="00D32AAD"/>
    <w:rsid w:val="00D33F7A"/>
    <w:rsid w:val="00D34255"/>
    <w:rsid w:val="00D34411"/>
    <w:rsid w:val="00D34D47"/>
    <w:rsid w:val="00D3664C"/>
    <w:rsid w:val="00D409AC"/>
    <w:rsid w:val="00D41F76"/>
    <w:rsid w:val="00D42DA5"/>
    <w:rsid w:val="00D44C7D"/>
    <w:rsid w:val="00D4511E"/>
    <w:rsid w:val="00D47174"/>
    <w:rsid w:val="00D5114D"/>
    <w:rsid w:val="00D515B4"/>
    <w:rsid w:val="00D523ED"/>
    <w:rsid w:val="00D530A1"/>
    <w:rsid w:val="00D56896"/>
    <w:rsid w:val="00D56C1E"/>
    <w:rsid w:val="00D56EA1"/>
    <w:rsid w:val="00D56EF0"/>
    <w:rsid w:val="00D5745E"/>
    <w:rsid w:val="00D608B2"/>
    <w:rsid w:val="00D60FDB"/>
    <w:rsid w:val="00D61100"/>
    <w:rsid w:val="00D61C3D"/>
    <w:rsid w:val="00D62133"/>
    <w:rsid w:val="00D62F35"/>
    <w:rsid w:val="00D63792"/>
    <w:rsid w:val="00D641FB"/>
    <w:rsid w:val="00D6494F"/>
    <w:rsid w:val="00D6518E"/>
    <w:rsid w:val="00D65414"/>
    <w:rsid w:val="00D6698D"/>
    <w:rsid w:val="00D6713A"/>
    <w:rsid w:val="00D67B86"/>
    <w:rsid w:val="00D71CFC"/>
    <w:rsid w:val="00D72759"/>
    <w:rsid w:val="00D73F68"/>
    <w:rsid w:val="00D76059"/>
    <w:rsid w:val="00D763AE"/>
    <w:rsid w:val="00D76C88"/>
    <w:rsid w:val="00D76EFE"/>
    <w:rsid w:val="00D76FBD"/>
    <w:rsid w:val="00D77B5C"/>
    <w:rsid w:val="00D77F32"/>
    <w:rsid w:val="00D80F98"/>
    <w:rsid w:val="00D81B76"/>
    <w:rsid w:val="00D81CFF"/>
    <w:rsid w:val="00D82F72"/>
    <w:rsid w:val="00D8343D"/>
    <w:rsid w:val="00D83719"/>
    <w:rsid w:val="00D83DBC"/>
    <w:rsid w:val="00D8410E"/>
    <w:rsid w:val="00D85470"/>
    <w:rsid w:val="00D85B63"/>
    <w:rsid w:val="00D86137"/>
    <w:rsid w:val="00D8644D"/>
    <w:rsid w:val="00D86A03"/>
    <w:rsid w:val="00D87007"/>
    <w:rsid w:val="00D8794A"/>
    <w:rsid w:val="00D87CC6"/>
    <w:rsid w:val="00D91089"/>
    <w:rsid w:val="00D9127A"/>
    <w:rsid w:val="00D91D80"/>
    <w:rsid w:val="00D92337"/>
    <w:rsid w:val="00D92BCB"/>
    <w:rsid w:val="00D9357A"/>
    <w:rsid w:val="00D94266"/>
    <w:rsid w:val="00D94856"/>
    <w:rsid w:val="00D94FE8"/>
    <w:rsid w:val="00D95C88"/>
    <w:rsid w:val="00D960F6"/>
    <w:rsid w:val="00D9623E"/>
    <w:rsid w:val="00D964C7"/>
    <w:rsid w:val="00D96869"/>
    <w:rsid w:val="00D96C50"/>
    <w:rsid w:val="00D97E2E"/>
    <w:rsid w:val="00DA0894"/>
    <w:rsid w:val="00DA1129"/>
    <w:rsid w:val="00DA16DA"/>
    <w:rsid w:val="00DA1867"/>
    <w:rsid w:val="00DA1D34"/>
    <w:rsid w:val="00DA3301"/>
    <w:rsid w:val="00DA36D6"/>
    <w:rsid w:val="00DA4540"/>
    <w:rsid w:val="00DA4DE5"/>
    <w:rsid w:val="00DA4E28"/>
    <w:rsid w:val="00DA569F"/>
    <w:rsid w:val="00DA6020"/>
    <w:rsid w:val="00DA6A14"/>
    <w:rsid w:val="00DA6A85"/>
    <w:rsid w:val="00DA7A98"/>
    <w:rsid w:val="00DB236B"/>
    <w:rsid w:val="00DB2BD5"/>
    <w:rsid w:val="00DB3D53"/>
    <w:rsid w:val="00DB4957"/>
    <w:rsid w:val="00DB4B20"/>
    <w:rsid w:val="00DB4D1E"/>
    <w:rsid w:val="00DB4F21"/>
    <w:rsid w:val="00DB69AF"/>
    <w:rsid w:val="00DB7612"/>
    <w:rsid w:val="00DB7770"/>
    <w:rsid w:val="00DB7C57"/>
    <w:rsid w:val="00DB7CB8"/>
    <w:rsid w:val="00DC2582"/>
    <w:rsid w:val="00DC2A44"/>
    <w:rsid w:val="00DC3DEE"/>
    <w:rsid w:val="00DC3F39"/>
    <w:rsid w:val="00DC5A6C"/>
    <w:rsid w:val="00DC5C43"/>
    <w:rsid w:val="00DC723F"/>
    <w:rsid w:val="00DD1791"/>
    <w:rsid w:val="00DD2730"/>
    <w:rsid w:val="00DD279B"/>
    <w:rsid w:val="00DD2C7F"/>
    <w:rsid w:val="00DD2ECB"/>
    <w:rsid w:val="00DD4091"/>
    <w:rsid w:val="00DD4209"/>
    <w:rsid w:val="00DD5022"/>
    <w:rsid w:val="00DD52B1"/>
    <w:rsid w:val="00DE0CAC"/>
    <w:rsid w:val="00DE117F"/>
    <w:rsid w:val="00DE159B"/>
    <w:rsid w:val="00DE1C33"/>
    <w:rsid w:val="00DE1CD0"/>
    <w:rsid w:val="00DE2293"/>
    <w:rsid w:val="00DE289F"/>
    <w:rsid w:val="00DE4F51"/>
    <w:rsid w:val="00DE54B4"/>
    <w:rsid w:val="00DE5BE5"/>
    <w:rsid w:val="00DE6627"/>
    <w:rsid w:val="00DE6C75"/>
    <w:rsid w:val="00DE6D76"/>
    <w:rsid w:val="00DE704D"/>
    <w:rsid w:val="00DF055E"/>
    <w:rsid w:val="00DF07AC"/>
    <w:rsid w:val="00DF20D8"/>
    <w:rsid w:val="00DF33D2"/>
    <w:rsid w:val="00DF34D9"/>
    <w:rsid w:val="00DF384D"/>
    <w:rsid w:val="00DF4006"/>
    <w:rsid w:val="00DF4201"/>
    <w:rsid w:val="00DF5772"/>
    <w:rsid w:val="00DF70DC"/>
    <w:rsid w:val="00DF7D16"/>
    <w:rsid w:val="00DF7EAB"/>
    <w:rsid w:val="00E00EEA"/>
    <w:rsid w:val="00E00EED"/>
    <w:rsid w:val="00E01239"/>
    <w:rsid w:val="00E016B2"/>
    <w:rsid w:val="00E023B0"/>
    <w:rsid w:val="00E025DB"/>
    <w:rsid w:val="00E02810"/>
    <w:rsid w:val="00E02BD5"/>
    <w:rsid w:val="00E0395B"/>
    <w:rsid w:val="00E03DD6"/>
    <w:rsid w:val="00E06065"/>
    <w:rsid w:val="00E063D0"/>
    <w:rsid w:val="00E06CD2"/>
    <w:rsid w:val="00E06FD1"/>
    <w:rsid w:val="00E07B26"/>
    <w:rsid w:val="00E07D61"/>
    <w:rsid w:val="00E10C71"/>
    <w:rsid w:val="00E11A7E"/>
    <w:rsid w:val="00E146D9"/>
    <w:rsid w:val="00E146DB"/>
    <w:rsid w:val="00E17C28"/>
    <w:rsid w:val="00E209CC"/>
    <w:rsid w:val="00E246CB"/>
    <w:rsid w:val="00E24BC2"/>
    <w:rsid w:val="00E24EF2"/>
    <w:rsid w:val="00E26A34"/>
    <w:rsid w:val="00E26D4A"/>
    <w:rsid w:val="00E30714"/>
    <w:rsid w:val="00E30916"/>
    <w:rsid w:val="00E30D40"/>
    <w:rsid w:val="00E317EA"/>
    <w:rsid w:val="00E31CE8"/>
    <w:rsid w:val="00E326C2"/>
    <w:rsid w:val="00E32897"/>
    <w:rsid w:val="00E32F49"/>
    <w:rsid w:val="00E34B27"/>
    <w:rsid w:val="00E34FB6"/>
    <w:rsid w:val="00E3560E"/>
    <w:rsid w:val="00E36449"/>
    <w:rsid w:val="00E3656A"/>
    <w:rsid w:val="00E36A3D"/>
    <w:rsid w:val="00E378DC"/>
    <w:rsid w:val="00E405FE"/>
    <w:rsid w:val="00E42729"/>
    <w:rsid w:val="00E42D47"/>
    <w:rsid w:val="00E43423"/>
    <w:rsid w:val="00E43E0C"/>
    <w:rsid w:val="00E447E1"/>
    <w:rsid w:val="00E44FCB"/>
    <w:rsid w:val="00E456D8"/>
    <w:rsid w:val="00E4626B"/>
    <w:rsid w:val="00E463EC"/>
    <w:rsid w:val="00E46531"/>
    <w:rsid w:val="00E46EEC"/>
    <w:rsid w:val="00E46F43"/>
    <w:rsid w:val="00E47647"/>
    <w:rsid w:val="00E502B1"/>
    <w:rsid w:val="00E502FA"/>
    <w:rsid w:val="00E52333"/>
    <w:rsid w:val="00E52345"/>
    <w:rsid w:val="00E52F19"/>
    <w:rsid w:val="00E543CD"/>
    <w:rsid w:val="00E54834"/>
    <w:rsid w:val="00E56758"/>
    <w:rsid w:val="00E571B9"/>
    <w:rsid w:val="00E62054"/>
    <w:rsid w:val="00E621AF"/>
    <w:rsid w:val="00E62393"/>
    <w:rsid w:val="00E62D6F"/>
    <w:rsid w:val="00E63366"/>
    <w:rsid w:val="00E6336F"/>
    <w:rsid w:val="00E638E7"/>
    <w:rsid w:val="00E63EC0"/>
    <w:rsid w:val="00E64239"/>
    <w:rsid w:val="00E642FA"/>
    <w:rsid w:val="00E648D8"/>
    <w:rsid w:val="00E64AC4"/>
    <w:rsid w:val="00E65300"/>
    <w:rsid w:val="00E65C65"/>
    <w:rsid w:val="00E66941"/>
    <w:rsid w:val="00E67700"/>
    <w:rsid w:val="00E67D1E"/>
    <w:rsid w:val="00E709A1"/>
    <w:rsid w:val="00E7118E"/>
    <w:rsid w:val="00E725BD"/>
    <w:rsid w:val="00E7319A"/>
    <w:rsid w:val="00E734BC"/>
    <w:rsid w:val="00E745D7"/>
    <w:rsid w:val="00E75198"/>
    <w:rsid w:val="00E75C34"/>
    <w:rsid w:val="00E77D78"/>
    <w:rsid w:val="00E8035F"/>
    <w:rsid w:val="00E80436"/>
    <w:rsid w:val="00E81087"/>
    <w:rsid w:val="00E817A7"/>
    <w:rsid w:val="00E81863"/>
    <w:rsid w:val="00E8413E"/>
    <w:rsid w:val="00E84E44"/>
    <w:rsid w:val="00E8680B"/>
    <w:rsid w:val="00E8755F"/>
    <w:rsid w:val="00E91FF8"/>
    <w:rsid w:val="00E92D76"/>
    <w:rsid w:val="00E93A9B"/>
    <w:rsid w:val="00E93E62"/>
    <w:rsid w:val="00E940CF"/>
    <w:rsid w:val="00E943AB"/>
    <w:rsid w:val="00E949B8"/>
    <w:rsid w:val="00E94D46"/>
    <w:rsid w:val="00E960D7"/>
    <w:rsid w:val="00E965EC"/>
    <w:rsid w:val="00E967FA"/>
    <w:rsid w:val="00E96AAA"/>
    <w:rsid w:val="00E96BD1"/>
    <w:rsid w:val="00E96C80"/>
    <w:rsid w:val="00E96D3D"/>
    <w:rsid w:val="00E97787"/>
    <w:rsid w:val="00EA06DB"/>
    <w:rsid w:val="00EA1B00"/>
    <w:rsid w:val="00EA416A"/>
    <w:rsid w:val="00EA46D5"/>
    <w:rsid w:val="00EA5285"/>
    <w:rsid w:val="00EA772C"/>
    <w:rsid w:val="00EB07A0"/>
    <w:rsid w:val="00EB1C79"/>
    <w:rsid w:val="00EB1CB9"/>
    <w:rsid w:val="00EB2328"/>
    <w:rsid w:val="00EB24B6"/>
    <w:rsid w:val="00EB33C4"/>
    <w:rsid w:val="00EB3D44"/>
    <w:rsid w:val="00EB4249"/>
    <w:rsid w:val="00EB49A8"/>
    <w:rsid w:val="00EB6BA4"/>
    <w:rsid w:val="00EB70DF"/>
    <w:rsid w:val="00EB7309"/>
    <w:rsid w:val="00EB7428"/>
    <w:rsid w:val="00EB7A0D"/>
    <w:rsid w:val="00EC045A"/>
    <w:rsid w:val="00EC0600"/>
    <w:rsid w:val="00EC14DF"/>
    <w:rsid w:val="00EC31B1"/>
    <w:rsid w:val="00EC3612"/>
    <w:rsid w:val="00EC487E"/>
    <w:rsid w:val="00EC48B3"/>
    <w:rsid w:val="00EC5AA8"/>
    <w:rsid w:val="00EC61EE"/>
    <w:rsid w:val="00EC6B5D"/>
    <w:rsid w:val="00EC7548"/>
    <w:rsid w:val="00EC7CA0"/>
    <w:rsid w:val="00ED0C77"/>
    <w:rsid w:val="00ED136A"/>
    <w:rsid w:val="00ED2A8F"/>
    <w:rsid w:val="00ED34B3"/>
    <w:rsid w:val="00ED3E25"/>
    <w:rsid w:val="00ED699F"/>
    <w:rsid w:val="00ED7AD2"/>
    <w:rsid w:val="00EE08C4"/>
    <w:rsid w:val="00EE09B1"/>
    <w:rsid w:val="00EE1321"/>
    <w:rsid w:val="00EE2057"/>
    <w:rsid w:val="00EE2A37"/>
    <w:rsid w:val="00EE3285"/>
    <w:rsid w:val="00EE33C4"/>
    <w:rsid w:val="00EE3961"/>
    <w:rsid w:val="00EE4269"/>
    <w:rsid w:val="00EE48BA"/>
    <w:rsid w:val="00EE5D1B"/>
    <w:rsid w:val="00EE6C32"/>
    <w:rsid w:val="00EE7094"/>
    <w:rsid w:val="00EE792E"/>
    <w:rsid w:val="00EE7B93"/>
    <w:rsid w:val="00EF09CB"/>
    <w:rsid w:val="00EF0B08"/>
    <w:rsid w:val="00EF277C"/>
    <w:rsid w:val="00EF2880"/>
    <w:rsid w:val="00EF2CEF"/>
    <w:rsid w:val="00EF2D5B"/>
    <w:rsid w:val="00EF336E"/>
    <w:rsid w:val="00EF35D2"/>
    <w:rsid w:val="00EF38EA"/>
    <w:rsid w:val="00EF3998"/>
    <w:rsid w:val="00EF39D3"/>
    <w:rsid w:val="00EF4A37"/>
    <w:rsid w:val="00EF716E"/>
    <w:rsid w:val="00EF7C35"/>
    <w:rsid w:val="00EF7E6C"/>
    <w:rsid w:val="00F00AD8"/>
    <w:rsid w:val="00F00E41"/>
    <w:rsid w:val="00F011DD"/>
    <w:rsid w:val="00F0148A"/>
    <w:rsid w:val="00F0216D"/>
    <w:rsid w:val="00F0386D"/>
    <w:rsid w:val="00F058AC"/>
    <w:rsid w:val="00F05CF2"/>
    <w:rsid w:val="00F06AE6"/>
    <w:rsid w:val="00F106E7"/>
    <w:rsid w:val="00F11939"/>
    <w:rsid w:val="00F13FC7"/>
    <w:rsid w:val="00F141E1"/>
    <w:rsid w:val="00F14768"/>
    <w:rsid w:val="00F151E2"/>
    <w:rsid w:val="00F15525"/>
    <w:rsid w:val="00F15589"/>
    <w:rsid w:val="00F15EBF"/>
    <w:rsid w:val="00F16797"/>
    <w:rsid w:val="00F17594"/>
    <w:rsid w:val="00F21FDD"/>
    <w:rsid w:val="00F2396D"/>
    <w:rsid w:val="00F23F66"/>
    <w:rsid w:val="00F2454D"/>
    <w:rsid w:val="00F247A3"/>
    <w:rsid w:val="00F2496A"/>
    <w:rsid w:val="00F2713B"/>
    <w:rsid w:val="00F273EC"/>
    <w:rsid w:val="00F276FF"/>
    <w:rsid w:val="00F309C3"/>
    <w:rsid w:val="00F30A6E"/>
    <w:rsid w:val="00F30F81"/>
    <w:rsid w:val="00F3305B"/>
    <w:rsid w:val="00F33A0F"/>
    <w:rsid w:val="00F33B96"/>
    <w:rsid w:val="00F34637"/>
    <w:rsid w:val="00F4039A"/>
    <w:rsid w:val="00F4065F"/>
    <w:rsid w:val="00F40790"/>
    <w:rsid w:val="00F40876"/>
    <w:rsid w:val="00F40885"/>
    <w:rsid w:val="00F42685"/>
    <w:rsid w:val="00F42922"/>
    <w:rsid w:val="00F42D5B"/>
    <w:rsid w:val="00F43F0F"/>
    <w:rsid w:val="00F447A9"/>
    <w:rsid w:val="00F44F4D"/>
    <w:rsid w:val="00F467FC"/>
    <w:rsid w:val="00F47E8B"/>
    <w:rsid w:val="00F502A7"/>
    <w:rsid w:val="00F515A0"/>
    <w:rsid w:val="00F522AD"/>
    <w:rsid w:val="00F5261D"/>
    <w:rsid w:val="00F534B5"/>
    <w:rsid w:val="00F5578A"/>
    <w:rsid w:val="00F55FE0"/>
    <w:rsid w:val="00F56B7D"/>
    <w:rsid w:val="00F57F64"/>
    <w:rsid w:val="00F603FC"/>
    <w:rsid w:val="00F6235A"/>
    <w:rsid w:val="00F6298B"/>
    <w:rsid w:val="00F63A7E"/>
    <w:rsid w:val="00F64783"/>
    <w:rsid w:val="00F64EF9"/>
    <w:rsid w:val="00F65FEA"/>
    <w:rsid w:val="00F66350"/>
    <w:rsid w:val="00F679E7"/>
    <w:rsid w:val="00F708D1"/>
    <w:rsid w:val="00F7101E"/>
    <w:rsid w:val="00F71350"/>
    <w:rsid w:val="00F718D0"/>
    <w:rsid w:val="00F71C1D"/>
    <w:rsid w:val="00F72B03"/>
    <w:rsid w:val="00F72DDB"/>
    <w:rsid w:val="00F73A5C"/>
    <w:rsid w:val="00F743B8"/>
    <w:rsid w:val="00F745FA"/>
    <w:rsid w:val="00F747CF"/>
    <w:rsid w:val="00F74BF8"/>
    <w:rsid w:val="00F7553F"/>
    <w:rsid w:val="00F75CBE"/>
    <w:rsid w:val="00F7636A"/>
    <w:rsid w:val="00F76374"/>
    <w:rsid w:val="00F76391"/>
    <w:rsid w:val="00F7691F"/>
    <w:rsid w:val="00F77549"/>
    <w:rsid w:val="00F80394"/>
    <w:rsid w:val="00F814D3"/>
    <w:rsid w:val="00F82343"/>
    <w:rsid w:val="00F824A4"/>
    <w:rsid w:val="00F82D97"/>
    <w:rsid w:val="00F831B8"/>
    <w:rsid w:val="00F83B31"/>
    <w:rsid w:val="00F84198"/>
    <w:rsid w:val="00F84434"/>
    <w:rsid w:val="00F8443E"/>
    <w:rsid w:val="00F84E45"/>
    <w:rsid w:val="00F853B0"/>
    <w:rsid w:val="00F85F3A"/>
    <w:rsid w:val="00F865B7"/>
    <w:rsid w:val="00F875F3"/>
    <w:rsid w:val="00F87FAD"/>
    <w:rsid w:val="00F9009F"/>
    <w:rsid w:val="00F910C0"/>
    <w:rsid w:val="00F91FC2"/>
    <w:rsid w:val="00F925DB"/>
    <w:rsid w:val="00F929DC"/>
    <w:rsid w:val="00F92A99"/>
    <w:rsid w:val="00F935B9"/>
    <w:rsid w:val="00F9376A"/>
    <w:rsid w:val="00F939B3"/>
    <w:rsid w:val="00F94588"/>
    <w:rsid w:val="00F95712"/>
    <w:rsid w:val="00F9586E"/>
    <w:rsid w:val="00F95C5D"/>
    <w:rsid w:val="00F9656E"/>
    <w:rsid w:val="00F96790"/>
    <w:rsid w:val="00F9718B"/>
    <w:rsid w:val="00F97653"/>
    <w:rsid w:val="00FA0902"/>
    <w:rsid w:val="00FA10BA"/>
    <w:rsid w:val="00FA121A"/>
    <w:rsid w:val="00FA122F"/>
    <w:rsid w:val="00FA1710"/>
    <w:rsid w:val="00FA19A2"/>
    <w:rsid w:val="00FA2808"/>
    <w:rsid w:val="00FA2CA1"/>
    <w:rsid w:val="00FA2EB1"/>
    <w:rsid w:val="00FA4AEC"/>
    <w:rsid w:val="00FA5204"/>
    <w:rsid w:val="00FA66D4"/>
    <w:rsid w:val="00FA702F"/>
    <w:rsid w:val="00FA709D"/>
    <w:rsid w:val="00FA72A7"/>
    <w:rsid w:val="00FA7BCA"/>
    <w:rsid w:val="00FB08CE"/>
    <w:rsid w:val="00FB09C0"/>
    <w:rsid w:val="00FB0F4C"/>
    <w:rsid w:val="00FB15E2"/>
    <w:rsid w:val="00FB15EA"/>
    <w:rsid w:val="00FB1918"/>
    <w:rsid w:val="00FB1B38"/>
    <w:rsid w:val="00FB2CE2"/>
    <w:rsid w:val="00FB35A6"/>
    <w:rsid w:val="00FB4564"/>
    <w:rsid w:val="00FB45E1"/>
    <w:rsid w:val="00FC21A3"/>
    <w:rsid w:val="00FC2546"/>
    <w:rsid w:val="00FC4578"/>
    <w:rsid w:val="00FC4FD8"/>
    <w:rsid w:val="00FC5CB9"/>
    <w:rsid w:val="00FC6CDE"/>
    <w:rsid w:val="00FC7A54"/>
    <w:rsid w:val="00FC7EB5"/>
    <w:rsid w:val="00FD074F"/>
    <w:rsid w:val="00FD1A9B"/>
    <w:rsid w:val="00FD433E"/>
    <w:rsid w:val="00FD4958"/>
    <w:rsid w:val="00FD4B7E"/>
    <w:rsid w:val="00FD641A"/>
    <w:rsid w:val="00FD67BE"/>
    <w:rsid w:val="00FD6CDA"/>
    <w:rsid w:val="00FD7B0A"/>
    <w:rsid w:val="00FD7DAA"/>
    <w:rsid w:val="00FE00C1"/>
    <w:rsid w:val="00FE0628"/>
    <w:rsid w:val="00FE1B17"/>
    <w:rsid w:val="00FE2116"/>
    <w:rsid w:val="00FE21C6"/>
    <w:rsid w:val="00FE26AE"/>
    <w:rsid w:val="00FE2AB0"/>
    <w:rsid w:val="00FE3780"/>
    <w:rsid w:val="00FE3A99"/>
    <w:rsid w:val="00FE3F19"/>
    <w:rsid w:val="00FE40F7"/>
    <w:rsid w:val="00FE4D7D"/>
    <w:rsid w:val="00FE4FFA"/>
    <w:rsid w:val="00FE593B"/>
    <w:rsid w:val="00FE6011"/>
    <w:rsid w:val="00FE72E0"/>
    <w:rsid w:val="00FF08C5"/>
    <w:rsid w:val="00FF2140"/>
    <w:rsid w:val="00FF2416"/>
    <w:rsid w:val="00FF24C2"/>
    <w:rsid w:val="00FF3A74"/>
    <w:rsid w:val="00FF3BB8"/>
    <w:rsid w:val="00FF3E42"/>
    <w:rsid w:val="00FF49DF"/>
    <w:rsid w:val="00FF5193"/>
    <w:rsid w:val="00FF5A4F"/>
    <w:rsid w:val="00FF5B38"/>
    <w:rsid w:val="00FF5F50"/>
    <w:rsid w:val="00FF653E"/>
    <w:rsid w:val="00FF70CE"/>
    <w:rsid w:val="00FF71AC"/>
    <w:rsid w:val="00FF7A0A"/>
    <w:rsid w:val="00FF7F2D"/>
    <w:rsid w:val="014F3586"/>
    <w:rsid w:val="01500743"/>
    <w:rsid w:val="01953A2C"/>
    <w:rsid w:val="01A14632"/>
    <w:rsid w:val="01DA6C0D"/>
    <w:rsid w:val="03503DC7"/>
    <w:rsid w:val="04936845"/>
    <w:rsid w:val="05196FA4"/>
    <w:rsid w:val="05435EC0"/>
    <w:rsid w:val="05606351"/>
    <w:rsid w:val="06D74C69"/>
    <w:rsid w:val="0781507A"/>
    <w:rsid w:val="07EA08B5"/>
    <w:rsid w:val="08D3593D"/>
    <w:rsid w:val="09074910"/>
    <w:rsid w:val="09B25DC6"/>
    <w:rsid w:val="0D627FE0"/>
    <w:rsid w:val="0D9848D0"/>
    <w:rsid w:val="0F891458"/>
    <w:rsid w:val="112202A9"/>
    <w:rsid w:val="11D55AA4"/>
    <w:rsid w:val="12522C18"/>
    <w:rsid w:val="1339216D"/>
    <w:rsid w:val="134A4185"/>
    <w:rsid w:val="13DF3855"/>
    <w:rsid w:val="151C3EE5"/>
    <w:rsid w:val="15673566"/>
    <w:rsid w:val="15963E97"/>
    <w:rsid w:val="164B62B4"/>
    <w:rsid w:val="16BC2AFC"/>
    <w:rsid w:val="19201A99"/>
    <w:rsid w:val="19D66FF2"/>
    <w:rsid w:val="1A58496A"/>
    <w:rsid w:val="1A5E2CFD"/>
    <w:rsid w:val="1A643CDB"/>
    <w:rsid w:val="1BDA3641"/>
    <w:rsid w:val="1BE063BC"/>
    <w:rsid w:val="1D073794"/>
    <w:rsid w:val="1D2F5470"/>
    <w:rsid w:val="1D577DA1"/>
    <w:rsid w:val="1D6607B3"/>
    <w:rsid w:val="1DAB01AC"/>
    <w:rsid w:val="20260258"/>
    <w:rsid w:val="202865B7"/>
    <w:rsid w:val="205E0BBD"/>
    <w:rsid w:val="20833F13"/>
    <w:rsid w:val="20965132"/>
    <w:rsid w:val="211A2A91"/>
    <w:rsid w:val="24B64183"/>
    <w:rsid w:val="25B82046"/>
    <w:rsid w:val="268D2EBD"/>
    <w:rsid w:val="26C50688"/>
    <w:rsid w:val="28923FF3"/>
    <w:rsid w:val="28B15BE8"/>
    <w:rsid w:val="28E82D54"/>
    <w:rsid w:val="28F52F56"/>
    <w:rsid w:val="2980554B"/>
    <w:rsid w:val="2A776BCE"/>
    <w:rsid w:val="2A8A6DEB"/>
    <w:rsid w:val="2AA476D6"/>
    <w:rsid w:val="2B382D64"/>
    <w:rsid w:val="2B3D1081"/>
    <w:rsid w:val="2BBC77BC"/>
    <w:rsid w:val="2BF30C17"/>
    <w:rsid w:val="2C4F1CB4"/>
    <w:rsid w:val="2D0B0DBF"/>
    <w:rsid w:val="2D1579FA"/>
    <w:rsid w:val="2F193C67"/>
    <w:rsid w:val="308859E6"/>
    <w:rsid w:val="3188626D"/>
    <w:rsid w:val="325503B6"/>
    <w:rsid w:val="32934090"/>
    <w:rsid w:val="332C59CC"/>
    <w:rsid w:val="33787B62"/>
    <w:rsid w:val="33DC4FA8"/>
    <w:rsid w:val="352408D2"/>
    <w:rsid w:val="35245241"/>
    <w:rsid w:val="3679702D"/>
    <w:rsid w:val="36B943DD"/>
    <w:rsid w:val="38353C17"/>
    <w:rsid w:val="385F25AB"/>
    <w:rsid w:val="38832533"/>
    <w:rsid w:val="388916A7"/>
    <w:rsid w:val="39872EBF"/>
    <w:rsid w:val="399D007D"/>
    <w:rsid w:val="3A6646E7"/>
    <w:rsid w:val="3F7A5C5C"/>
    <w:rsid w:val="3FE815C8"/>
    <w:rsid w:val="3FF74ECC"/>
    <w:rsid w:val="421E01B6"/>
    <w:rsid w:val="42466269"/>
    <w:rsid w:val="43F807F4"/>
    <w:rsid w:val="45A72640"/>
    <w:rsid w:val="47894439"/>
    <w:rsid w:val="492823DB"/>
    <w:rsid w:val="49AF724A"/>
    <w:rsid w:val="4A0B7AA4"/>
    <w:rsid w:val="4A966FEB"/>
    <w:rsid w:val="4BFC604B"/>
    <w:rsid w:val="4C1C7726"/>
    <w:rsid w:val="4C787DC7"/>
    <w:rsid w:val="4CB86415"/>
    <w:rsid w:val="4D3762A9"/>
    <w:rsid w:val="4E3E2A48"/>
    <w:rsid w:val="4EA90A14"/>
    <w:rsid w:val="4F2C5940"/>
    <w:rsid w:val="50067124"/>
    <w:rsid w:val="50103379"/>
    <w:rsid w:val="509F4354"/>
    <w:rsid w:val="51C82429"/>
    <w:rsid w:val="52195BC5"/>
    <w:rsid w:val="523A46BB"/>
    <w:rsid w:val="53BC5B25"/>
    <w:rsid w:val="546D3595"/>
    <w:rsid w:val="54A45D94"/>
    <w:rsid w:val="55085A44"/>
    <w:rsid w:val="554D2DBA"/>
    <w:rsid w:val="57647193"/>
    <w:rsid w:val="57FD4297"/>
    <w:rsid w:val="59EE4D9E"/>
    <w:rsid w:val="5ABE706E"/>
    <w:rsid w:val="5AD30906"/>
    <w:rsid w:val="5CAF6E7F"/>
    <w:rsid w:val="5D2B32CA"/>
    <w:rsid w:val="5E414A99"/>
    <w:rsid w:val="5E666641"/>
    <w:rsid w:val="5F1F0576"/>
    <w:rsid w:val="61C64D6A"/>
    <w:rsid w:val="63897FDF"/>
    <w:rsid w:val="65D2125C"/>
    <w:rsid w:val="65FE7CB9"/>
    <w:rsid w:val="66CF02F4"/>
    <w:rsid w:val="67B53825"/>
    <w:rsid w:val="67D52B43"/>
    <w:rsid w:val="6AF6126E"/>
    <w:rsid w:val="6BA276CB"/>
    <w:rsid w:val="6DD3184D"/>
    <w:rsid w:val="73B01345"/>
    <w:rsid w:val="74834BF8"/>
    <w:rsid w:val="75464DCD"/>
    <w:rsid w:val="76BD6060"/>
    <w:rsid w:val="783203E8"/>
    <w:rsid w:val="78DE2E64"/>
    <w:rsid w:val="78DF2351"/>
    <w:rsid w:val="78F915C9"/>
    <w:rsid w:val="7AB636E5"/>
    <w:rsid w:val="7B1D79AA"/>
    <w:rsid w:val="7C0B048F"/>
    <w:rsid w:val="7E89356A"/>
    <w:rsid w:val="7EA62CDF"/>
    <w:rsid w:val="7EB22415"/>
    <w:rsid w:val="7ED63978"/>
    <w:rsid w:val="7F31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99"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2"/>
    <w:link w:val="49"/>
    <w:qFormat/>
    <w:uiPriority w:val="99"/>
    <w:pPr>
      <w:keepNext/>
      <w:keepLines/>
      <w:spacing w:before="240" w:after="240" w:line="600" w:lineRule="auto"/>
      <w:jc w:val="center"/>
      <w:outlineLvl w:val="0"/>
    </w:pPr>
    <w:rPr>
      <w:rFonts w:ascii="仿宋" w:hAnsi="仿宋" w:eastAsia="仿宋"/>
      <w:b/>
      <w:bCs/>
      <w:color w:val="000000"/>
      <w:kern w:val="44"/>
      <w:sz w:val="32"/>
      <w:szCs w:val="44"/>
    </w:rPr>
  </w:style>
  <w:style w:type="paragraph" w:styleId="2">
    <w:name w:val="heading 2"/>
    <w:basedOn w:val="1"/>
    <w:next w:val="1"/>
    <w:link w:val="48"/>
    <w:qFormat/>
    <w:uiPriority w:val="99"/>
    <w:pPr>
      <w:keepNext/>
      <w:keepLines/>
      <w:spacing w:before="120" w:after="120"/>
      <w:outlineLvl w:val="1"/>
    </w:pPr>
    <w:rPr>
      <w:rFonts w:ascii="仿宋" w:hAnsi="仿宋" w:eastAsia="仿宋"/>
      <w:b/>
      <w:bCs/>
      <w:kern w:val="0"/>
      <w:sz w:val="28"/>
      <w:szCs w:val="28"/>
    </w:rPr>
  </w:style>
  <w:style w:type="paragraph" w:styleId="4">
    <w:name w:val="heading 3"/>
    <w:basedOn w:val="1"/>
    <w:next w:val="1"/>
    <w:link w:val="47"/>
    <w:qFormat/>
    <w:uiPriority w:val="9"/>
    <w:pPr>
      <w:keepNext/>
      <w:keepLines/>
      <w:spacing w:beforeLines="50" w:afterLines="50"/>
      <w:outlineLvl w:val="2"/>
    </w:pPr>
    <w:rPr>
      <w:rFonts w:ascii="仿宋" w:hAnsi="仿宋" w:eastAsia="仿宋"/>
      <w:b/>
      <w:bCs/>
      <w:kern w:val="0"/>
      <w:sz w:val="24"/>
      <w:szCs w:val="32"/>
    </w:rPr>
  </w:style>
  <w:style w:type="paragraph" w:styleId="5">
    <w:name w:val="heading 4"/>
    <w:basedOn w:val="1"/>
    <w:next w:val="1"/>
    <w:link w:val="50"/>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7"/>
    <w:basedOn w:val="1"/>
    <w:next w:val="1"/>
    <w:link w:val="198"/>
    <w:qFormat/>
    <w:uiPriority w:val="0"/>
    <w:pPr>
      <w:keepNext/>
      <w:keepLines/>
      <w:adjustRightInd w:val="0"/>
      <w:spacing w:before="240" w:after="64" w:line="320" w:lineRule="atLeast"/>
      <w:ind w:left="905" w:hanging="425"/>
      <w:textAlignment w:val="baseline"/>
      <w:outlineLvl w:val="6"/>
    </w:pPr>
    <w:rPr>
      <w:rFonts w:ascii="Times New Roman" w:hAnsi="Times New Roman" w:cs="Times New Roman"/>
      <w:b/>
      <w:kern w:val="0"/>
      <w:sz w:val="24"/>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cs="Times New Roman"/>
      <w:szCs w:val="22"/>
    </w:rPr>
  </w:style>
  <w:style w:type="paragraph" w:styleId="8">
    <w:name w:val="Normal Indent"/>
    <w:basedOn w:val="1"/>
    <w:link w:val="51"/>
    <w:qFormat/>
    <w:uiPriority w:val="0"/>
    <w:pPr>
      <w:adjustRightInd w:val="0"/>
      <w:spacing w:line="312" w:lineRule="atLeast"/>
      <w:ind w:firstLine="420"/>
      <w:textAlignment w:val="baseline"/>
    </w:pPr>
    <w:rPr>
      <w:rFonts w:ascii="Times New Roman" w:hAnsi="Times New Roman" w:cs="Times New Roman"/>
      <w:kern w:val="0"/>
      <w:szCs w:val="20"/>
    </w:rPr>
  </w:style>
  <w:style w:type="paragraph" w:styleId="9">
    <w:name w:val="Document Map"/>
    <w:basedOn w:val="1"/>
    <w:link w:val="52"/>
    <w:qFormat/>
    <w:uiPriority w:val="99"/>
    <w:pPr>
      <w:shd w:val="clear" w:color="auto" w:fill="000080"/>
    </w:pPr>
    <w:rPr>
      <w:rFonts w:ascii="Times New Roman" w:hAnsi="Times New Roman" w:cs="Times New Roman"/>
      <w:szCs w:val="20"/>
    </w:rPr>
  </w:style>
  <w:style w:type="paragraph" w:styleId="10">
    <w:name w:val="annotation text"/>
    <w:basedOn w:val="1"/>
    <w:link w:val="53"/>
    <w:unhideWhenUsed/>
    <w:qFormat/>
    <w:uiPriority w:val="99"/>
    <w:pPr>
      <w:jc w:val="left"/>
    </w:pPr>
    <w:rPr>
      <w:rFonts w:cs="Times New Roman"/>
      <w:szCs w:val="22"/>
    </w:rPr>
  </w:style>
  <w:style w:type="paragraph" w:styleId="11">
    <w:name w:val="Body Text"/>
    <w:basedOn w:val="1"/>
    <w:link w:val="54"/>
    <w:qFormat/>
    <w:uiPriority w:val="99"/>
    <w:pPr>
      <w:spacing w:after="120"/>
    </w:pPr>
    <w:rPr>
      <w:rFonts w:ascii="Verdana" w:hAnsi="Verdana" w:eastAsia="仿宋_GB2312" w:cs="Times New Roman"/>
      <w:szCs w:val="20"/>
      <w:lang w:eastAsia="en-US"/>
    </w:rPr>
  </w:style>
  <w:style w:type="paragraph" w:styleId="12">
    <w:name w:val="Body Text Indent"/>
    <w:basedOn w:val="1"/>
    <w:link w:val="55"/>
    <w:unhideWhenUsed/>
    <w:qFormat/>
    <w:uiPriority w:val="0"/>
    <w:pPr>
      <w:spacing w:after="120"/>
      <w:ind w:left="420" w:leftChars="200"/>
    </w:pPr>
    <w:rPr>
      <w:rFonts w:ascii="Verdana" w:hAnsi="Verdana" w:eastAsia="仿宋_GB2312" w:cs="Times New Roman"/>
      <w:szCs w:val="20"/>
      <w:lang w:eastAsia="en-US"/>
    </w:rPr>
  </w:style>
  <w:style w:type="paragraph" w:styleId="13">
    <w:name w:val="List Continue"/>
    <w:basedOn w:val="1"/>
    <w:unhideWhenUsed/>
    <w:qFormat/>
    <w:uiPriority w:val="99"/>
    <w:pPr>
      <w:spacing w:after="120"/>
      <w:ind w:left="420" w:leftChars="200"/>
      <w:contextualSpacing/>
    </w:pPr>
    <w:rPr>
      <w:rFonts w:ascii="Times New Roman" w:hAnsi="Times New Roman" w:cs="Times New Roman"/>
    </w:rPr>
  </w:style>
  <w:style w:type="paragraph" w:styleId="14">
    <w:name w:val="toc 5"/>
    <w:basedOn w:val="1"/>
    <w:next w:val="1"/>
    <w:unhideWhenUsed/>
    <w:qFormat/>
    <w:uiPriority w:val="39"/>
    <w:pPr>
      <w:ind w:left="1680" w:leftChars="800"/>
    </w:pPr>
    <w:rPr>
      <w:rFonts w:cs="Times New Roman"/>
      <w:szCs w:val="22"/>
    </w:rPr>
  </w:style>
  <w:style w:type="paragraph" w:styleId="15">
    <w:name w:val="toc 3"/>
    <w:basedOn w:val="1"/>
    <w:next w:val="1"/>
    <w:unhideWhenUsed/>
    <w:qFormat/>
    <w:uiPriority w:val="39"/>
    <w:pPr>
      <w:ind w:left="840" w:leftChars="400"/>
    </w:pPr>
  </w:style>
  <w:style w:type="paragraph" w:styleId="16">
    <w:name w:val="Plain Text"/>
    <w:basedOn w:val="1"/>
    <w:link w:val="56"/>
    <w:unhideWhenUsed/>
    <w:qFormat/>
    <w:uiPriority w:val="0"/>
    <w:rPr>
      <w:rFonts w:ascii="宋体" w:hAnsi="Courier New" w:cs="Times New Roman"/>
      <w:szCs w:val="20"/>
    </w:rPr>
  </w:style>
  <w:style w:type="paragraph" w:styleId="17">
    <w:name w:val="toc 8"/>
    <w:basedOn w:val="1"/>
    <w:next w:val="1"/>
    <w:unhideWhenUsed/>
    <w:qFormat/>
    <w:uiPriority w:val="39"/>
    <w:pPr>
      <w:ind w:left="2940" w:leftChars="1400"/>
    </w:pPr>
    <w:rPr>
      <w:rFonts w:cs="Times New Roman"/>
      <w:szCs w:val="22"/>
    </w:rPr>
  </w:style>
  <w:style w:type="paragraph" w:styleId="18">
    <w:name w:val="Date"/>
    <w:basedOn w:val="1"/>
    <w:next w:val="1"/>
    <w:link w:val="57"/>
    <w:qFormat/>
    <w:uiPriority w:val="99"/>
    <w:pPr>
      <w:ind w:left="100" w:leftChars="2500"/>
    </w:pPr>
    <w:rPr>
      <w:rFonts w:ascii="Verdana" w:hAnsi="Verdana" w:eastAsia="仿宋_GB2312" w:cs="Times New Roman"/>
      <w:szCs w:val="20"/>
      <w:lang w:eastAsia="en-US"/>
    </w:rPr>
  </w:style>
  <w:style w:type="paragraph" w:styleId="19">
    <w:name w:val="Body Text Indent 2"/>
    <w:basedOn w:val="1"/>
    <w:link w:val="211"/>
    <w:qFormat/>
    <w:uiPriority w:val="0"/>
    <w:pPr>
      <w:adjustRightInd w:val="0"/>
      <w:spacing w:before="120" w:after="120" w:line="360" w:lineRule="auto"/>
      <w:ind w:right="204" w:firstLine="425"/>
      <w:textAlignment w:val="baseline"/>
    </w:pPr>
    <w:rPr>
      <w:rFonts w:ascii="宋体" w:hAnsi="Times New Roman" w:cs="Times New Roman"/>
      <w:kern w:val="0"/>
      <w:sz w:val="24"/>
      <w:szCs w:val="20"/>
    </w:rPr>
  </w:style>
  <w:style w:type="paragraph" w:styleId="20">
    <w:name w:val="Balloon Text"/>
    <w:basedOn w:val="1"/>
    <w:link w:val="58"/>
    <w:unhideWhenUsed/>
    <w:qFormat/>
    <w:uiPriority w:val="99"/>
    <w:rPr>
      <w:rFonts w:ascii="Times New Roman" w:hAnsi="Times New Roman" w:cs="Times New Roman"/>
      <w:sz w:val="18"/>
      <w:szCs w:val="18"/>
    </w:rPr>
  </w:style>
  <w:style w:type="paragraph" w:styleId="21">
    <w:name w:val="footer"/>
    <w:basedOn w:val="1"/>
    <w:link w:val="59"/>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0"/>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ind w:left="1260" w:leftChars="600"/>
    </w:pPr>
    <w:rPr>
      <w:rFonts w:cs="Times New Roman"/>
      <w:szCs w:val="22"/>
    </w:rPr>
  </w:style>
  <w:style w:type="paragraph" w:styleId="25">
    <w:name w:val="Subtitle"/>
    <w:basedOn w:val="1"/>
    <w:next w:val="1"/>
    <w:link w:val="61"/>
    <w:qFormat/>
    <w:uiPriority w:val="99"/>
    <w:pPr>
      <w:spacing w:after="60" w:line="360" w:lineRule="auto"/>
      <w:jc w:val="left"/>
      <w:outlineLvl w:val="1"/>
    </w:pPr>
    <w:rPr>
      <w:rFonts w:ascii="Times New Roman" w:hAnsi="Times New Roman" w:cs="Times New Roman"/>
      <w:b/>
      <w:bCs/>
      <w:kern w:val="28"/>
      <w:sz w:val="32"/>
      <w:szCs w:val="32"/>
    </w:rPr>
  </w:style>
  <w:style w:type="paragraph" w:styleId="26">
    <w:name w:val="toc 6"/>
    <w:basedOn w:val="1"/>
    <w:next w:val="1"/>
    <w:unhideWhenUsed/>
    <w:qFormat/>
    <w:uiPriority w:val="39"/>
    <w:pPr>
      <w:ind w:left="2100" w:leftChars="1000"/>
    </w:pPr>
    <w:rPr>
      <w:rFonts w:cs="Times New Roman"/>
      <w:szCs w:val="22"/>
    </w:rPr>
  </w:style>
  <w:style w:type="paragraph" w:styleId="27">
    <w:name w:val="Body Text Indent 3"/>
    <w:basedOn w:val="1"/>
    <w:link w:val="62"/>
    <w:unhideWhenUsed/>
    <w:qFormat/>
    <w:uiPriority w:val="99"/>
    <w:pPr>
      <w:spacing w:after="120"/>
      <w:ind w:left="420" w:leftChars="200"/>
    </w:pPr>
    <w:rPr>
      <w:rFonts w:ascii="Verdana" w:hAnsi="Verdana" w:eastAsia="仿宋_GB2312" w:cstheme="minorBidi"/>
      <w:sz w:val="16"/>
      <w:szCs w:val="16"/>
      <w:lang w:eastAsia="en-US"/>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cs="Times New Roman"/>
      <w:szCs w:val="22"/>
    </w:rPr>
  </w:style>
  <w:style w:type="paragraph" w:styleId="30">
    <w:name w:val="Message Header"/>
    <w:basedOn w:val="11"/>
    <w:link w:val="63"/>
    <w:qFormat/>
    <w:uiPriority w:val="0"/>
    <w:pPr>
      <w:keepLines/>
      <w:widowControl/>
      <w:tabs>
        <w:tab w:val="left" w:pos="720"/>
        <w:tab w:val="left" w:pos="4320"/>
        <w:tab w:val="left" w:pos="5040"/>
        <w:tab w:val="right" w:pos="8640"/>
      </w:tabs>
      <w:spacing w:after="40" w:line="440" w:lineRule="atLeast"/>
      <w:ind w:left="720" w:hanging="720"/>
      <w:jc w:val="left"/>
    </w:pPr>
    <w:rPr>
      <w:rFonts w:ascii="Arial" w:hAnsi="Arial"/>
      <w:spacing w:val="-5"/>
      <w:kern w:val="0"/>
      <w:sz w:val="24"/>
      <w:lang w:bidi="he-IL"/>
    </w:rPr>
  </w:style>
  <w:style w:type="paragraph" w:styleId="31">
    <w:name w:val="HTML Preformatted"/>
    <w:basedOn w:val="1"/>
    <w:link w:val="6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2">
    <w:name w:val="Normal (Web)"/>
    <w:basedOn w:val="1"/>
    <w:unhideWhenUsed/>
    <w:qFormat/>
    <w:uiPriority w:val="99"/>
    <w:rPr>
      <w:sz w:val="24"/>
    </w:rPr>
  </w:style>
  <w:style w:type="paragraph" w:styleId="33">
    <w:name w:val="index 1"/>
    <w:basedOn w:val="1"/>
    <w:next w:val="1"/>
    <w:semiHidden/>
    <w:qFormat/>
    <w:uiPriority w:val="0"/>
    <w:rPr>
      <w:rFonts w:ascii="Times New Roman" w:hAnsi="Times New Roman" w:cs="Times New Roman"/>
      <w:szCs w:val="20"/>
    </w:rPr>
  </w:style>
  <w:style w:type="paragraph" w:styleId="34">
    <w:name w:val="Title"/>
    <w:basedOn w:val="1"/>
    <w:link w:val="205"/>
    <w:qFormat/>
    <w:uiPriority w:val="0"/>
    <w:pPr>
      <w:spacing w:before="60" w:after="60" w:line="400" w:lineRule="exact"/>
      <w:jc w:val="center"/>
      <w:outlineLvl w:val="0"/>
    </w:pPr>
    <w:rPr>
      <w:rFonts w:ascii="Arial" w:hAnsi="Arial" w:eastAsia="黑体" w:cs="Times New Roman"/>
      <w:b/>
      <w:sz w:val="32"/>
      <w:szCs w:val="20"/>
    </w:rPr>
  </w:style>
  <w:style w:type="paragraph" w:styleId="35">
    <w:name w:val="annotation subject"/>
    <w:basedOn w:val="10"/>
    <w:next w:val="10"/>
    <w:link w:val="65"/>
    <w:unhideWhenUsed/>
    <w:qFormat/>
    <w:uiPriority w:val="99"/>
    <w:rPr>
      <w:rFonts w:ascii="Times New Roman" w:hAnsi="Times New Roman"/>
      <w:b/>
      <w:bCs/>
      <w:szCs w:val="24"/>
    </w:rPr>
  </w:style>
  <w:style w:type="paragraph" w:styleId="36">
    <w:name w:val="Body Text First Indent"/>
    <w:basedOn w:val="11"/>
    <w:link w:val="221"/>
    <w:semiHidden/>
    <w:unhideWhenUsed/>
    <w:qFormat/>
    <w:uiPriority w:val="99"/>
    <w:pPr>
      <w:ind w:firstLine="420" w:firstLineChars="100"/>
    </w:pPr>
    <w:rPr>
      <w:rFonts w:ascii="Calibri" w:hAnsi="Calibri" w:eastAsia="宋体" w:cs="Calibri"/>
      <w:szCs w:val="24"/>
      <w:lang w:eastAsia="zh-CN"/>
    </w:rPr>
  </w:style>
  <w:style w:type="paragraph" w:styleId="37">
    <w:name w:val="Body Text First Indent 2"/>
    <w:basedOn w:val="12"/>
    <w:link w:val="223"/>
    <w:semiHidden/>
    <w:unhideWhenUsed/>
    <w:qFormat/>
    <w:uiPriority w:val="99"/>
    <w:pPr>
      <w:ind w:firstLine="420" w:firstLineChars="200"/>
    </w:pPr>
    <w:rPr>
      <w:rFonts w:ascii="Calibri" w:hAnsi="Calibri" w:eastAsia="宋体" w:cs="Calibri"/>
      <w:szCs w:val="24"/>
      <w:lang w:eastAsia="zh-CN"/>
    </w:rPr>
  </w:style>
  <w:style w:type="table" w:styleId="39">
    <w:name w:val="Table Grid"/>
    <w:basedOn w:val="38"/>
    <w:qFormat/>
    <w:uiPriority w:val="3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rPr>
      <w:rFonts w:ascii="Verdana" w:hAnsi="Verdana" w:eastAsia="仿宋_GB2312"/>
      <w:sz w:val="24"/>
      <w:lang w:val="en-US" w:eastAsia="en-US" w:bidi="ar-SA"/>
    </w:rPr>
  </w:style>
  <w:style w:type="character" w:styleId="42">
    <w:name w:val="FollowedHyperlink"/>
    <w:basedOn w:val="40"/>
    <w:unhideWhenUsed/>
    <w:qFormat/>
    <w:uiPriority w:val="99"/>
    <w:rPr>
      <w:color w:val="000000"/>
      <w:u w:val="none"/>
    </w:rPr>
  </w:style>
  <w:style w:type="character" w:styleId="43">
    <w:name w:val="Emphasis"/>
    <w:qFormat/>
    <w:uiPriority w:val="0"/>
    <w:rPr>
      <w:rFonts w:ascii="Arial Black" w:hAnsi="Arial Black" w:eastAsia="黑体"/>
      <w:b/>
      <w:spacing w:val="0"/>
      <w:sz w:val="21"/>
      <w:lang w:eastAsia="zh-CN"/>
    </w:rPr>
  </w:style>
  <w:style w:type="character" w:styleId="44">
    <w:name w:val="Hyperlink"/>
    <w:unhideWhenUsed/>
    <w:qFormat/>
    <w:uiPriority w:val="99"/>
    <w:rPr>
      <w:color w:val="0000FF"/>
      <w:u w:val="single"/>
    </w:rPr>
  </w:style>
  <w:style w:type="character" w:styleId="45">
    <w:name w:val="HTML Code"/>
    <w:basedOn w:val="40"/>
    <w:unhideWhenUsed/>
    <w:qFormat/>
    <w:uiPriority w:val="99"/>
    <w:rPr>
      <w:rFonts w:ascii="Courier New" w:hAnsi="Courier New"/>
      <w:sz w:val="20"/>
    </w:rPr>
  </w:style>
  <w:style w:type="character" w:styleId="46">
    <w:name w:val="annotation reference"/>
    <w:unhideWhenUsed/>
    <w:qFormat/>
    <w:uiPriority w:val="99"/>
    <w:rPr>
      <w:sz w:val="21"/>
      <w:szCs w:val="21"/>
    </w:rPr>
  </w:style>
  <w:style w:type="character" w:customStyle="1" w:styleId="47">
    <w:name w:val="标题 3 Char"/>
    <w:basedOn w:val="40"/>
    <w:link w:val="4"/>
    <w:qFormat/>
    <w:uiPriority w:val="9"/>
    <w:rPr>
      <w:rFonts w:ascii="仿宋" w:hAnsi="仿宋" w:eastAsia="仿宋" w:cs="Calibri"/>
      <w:b/>
      <w:bCs/>
      <w:kern w:val="0"/>
      <w:sz w:val="24"/>
      <w:szCs w:val="32"/>
    </w:rPr>
  </w:style>
  <w:style w:type="character" w:customStyle="1" w:styleId="48">
    <w:name w:val="标题 2 Char"/>
    <w:basedOn w:val="40"/>
    <w:link w:val="2"/>
    <w:qFormat/>
    <w:uiPriority w:val="99"/>
    <w:rPr>
      <w:rFonts w:ascii="仿宋" w:hAnsi="仿宋" w:eastAsia="仿宋" w:cs="Calibri"/>
      <w:b/>
      <w:bCs/>
      <w:kern w:val="0"/>
      <w:sz w:val="28"/>
      <w:szCs w:val="28"/>
    </w:rPr>
  </w:style>
  <w:style w:type="character" w:customStyle="1" w:styleId="49">
    <w:name w:val="标题 1 Char"/>
    <w:basedOn w:val="40"/>
    <w:link w:val="3"/>
    <w:qFormat/>
    <w:uiPriority w:val="99"/>
    <w:rPr>
      <w:rFonts w:ascii="仿宋" w:hAnsi="仿宋" w:eastAsia="仿宋" w:cs="Calibri"/>
      <w:b/>
      <w:bCs/>
      <w:color w:val="000000"/>
      <w:kern w:val="44"/>
      <w:sz w:val="32"/>
      <w:szCs w:val="44"/>
    </w:rPr>
  </w:style>
  <w:style w:type="character" w:customStyle="1" w:styleId="50">
    <w:name w:val="标题 4 Char"/>
    <w:basedOn w:val="40"/>
    <w:link w:val="5"/>
    <w:qFormat/>
    <w:uiPriority w:val="9"/>
    <w:rPr>
      <w:rFonts w:ascii="Arial" w:hAnsi="Arial" w:eastAsia="黑体" w:cs="Times New Roman"/>
      <w:b/>
      <w:bCs/>
      <w:sz w:val="28"/>
      <w:szCs w:val="28"/>
    </w:rPr>
  </w:style>
  <w:style w:type="character" w:customStyle="1" w:styleId="51">
    <w:name w:val="正文缩进 Char"/>
    <w:link w:val="8"/>
    <w:qFormat/>
    <w:uiPriority w:val="0"/>
    <w:rPr>
      <w:rFonts w:ascii="Times New Roman" w:hAnsi="Times New Roman" w:eastAsia="宋体" w:cs="Times New Roman"/>
      <w:kern w:val="0"/>
      <w:szCs w:val="20"/>
    </w:rPr>
  </w:style>
  <w:style w:type="character" w:customStyle="1" w:styleId="52">
    <w:name w:val="文档结构图 Char"/>
    <w:basedOn w:val="40"/>
    <w:link w:val="9"/>
    <w:qFormat/>
    <w:uiPriority w:val="99"/>
    <w:rPr>
      <w:rFonts w:ascii="Times New Roman" w:hAnsi="Times New Roman" w:eastAsia="宋体" w:cs="Times New Roman"/>
      <w:szCs w:val="20"/>
      <w:shd w:val="clear" w:color="auto" w:fill="000080"/>
    </w:rPr>
  </w:style>
  <w:style w:type="character" w:customStyle="1" w:styleId="53">
    <w:name w:val="批注文字 Char"/>
    <w:basedOn w:val="40"/>
    <w:link w:val="10"/>
    <w:qFormat/>
    <w:uiPriority w:val="99"/>
    <w:rPr>
      <w:rFonts w:ascii="Calibri" w:hAnsi="Calibri" w:eastAsia="宋体" w:cs="Times New Roman"/>
    </w:rPr>
  </w:style>
  <w:style w:type="character" w:customStyle="1" w:styleId="54">
    <w:name w:val="正文文本 Char"/>
    <w:basedOn w:val="40"/>
    <w:link w:val="11"/>
    <w:qFormat/>
    <w:uiPriority w:val="99"/>
    <w:rPr>
      <w:rFonts w:ascii="Verdana" w:hAnsi="Verdana" w:eastAsia="仿宋_GB2312" w:cs="Times New Roman"/>
      <w:szCs w:val="20"/>
      <w:lang w:eastAsia="en-US"/>
    </w:rPr>
  </w:style>
  <w:style w:type="character" w:customStyle="1" w:styleId="55">
    <w:name w:val="正文文本缩进 Char"/>
    <w:basedOn w:val="40"/>
    <w:link w:val="12"/>
    <w:qFormat/>
    <w:uiPriority w:val="99"/>
    <w:rPr>
      <w:rFonts w:ascii="Verdana" w:hAnsi="Verdana" w:eastAsia="仿宋_GB2312" w:cs="Times New Roman"/>
      <w:szCs w:val="20"/>
      <w:lang w:eastAsia="en-US"/>
    </w:rPr>
  </w:style>
  <w:style w:type="character" w:customStyle="1" w:styleId="56">
    <w:name w:val="纯文本 Char3"/>
    <w:link w:val="16"/>
    <w:qFormat/>
    <w:uiPriority w:val="0"/>
    <w:rPr>
      <w:rFonts w:ascii="宋体" w:hAnsi="Courier New" w:eastAsia="宋体" w:cs="Times New Roman"/>
      <w:szCs w:val="20"/>
    </w:rPr>
  </w:style>
  <w:style w:type="character" w:customStyle="1" w:styleId="57">
    <w:name w:val="日期 Char"/>
    <w:basedOn w:val="40"/>
    <w:link w:val="18"/>
    <w:qFormat/>
    <w:uiPriority w:val="99"/>
    <w:rPr>
      <w:rFonts w:ascii="Verdana" w:hAnsi="Verdana" w:eastAsia="仿宋_GB2312" w:cs="Times New Roman"/>
      <w:szCs w:val="20"/>
      <w:lang w:eastAsia="en-US"/>
    </w:rPr>
  </w:style>
  <w:style w:type="character" w:customStyle="1" w:styleId="58">
    <w:name w:val="批注框文本 Char"/>
    <w:link w:val="20"/>
    <w:qFormat/>
    <w:uiPriority w:val="99"/>
    <w:rPr>
      <w:rFonts w:ascii="Times New Roman" w:hAnsi="Times New Roman" w:eastAsia="宋体" w:cs="Times New Roman"/>
      <w:sz w:val="18"/>
      <w:szCs w:val="18"/>
    </w:rPr>
  </w:style>
  <w:style w:type="character" w:customStyle="1" w:styleId="59">
    <w:name w:val="页脚 Char"/>
    <w:link w:val="21"/>
    <w:qFormat/>
    <w:uiPriority w:val="99"/>
    <w:rPr>
      <w:rFonts w:ascii="Times New Roman" w:hAnsi="Times New Roman" w:eastAsia="宋体" w:cs="Times New Roman"/>
      <w:sz w:val="18"/>
      <w:szCs w:val="18"/>
    </w:rPr>
  </w:style>
  <w:style w:type="character" w:customStyle="1" w:styleId="60">
    <w:name w:val="页眉 Char"/>
    <w:link w:val="22"/>
    <w:qFormat/>
    <w:uiPriority w:val="99"/>
    <w:rPr>
      <w:rFonts w:ascii="Times New Roman" w:hAnsi="Times New Roman" w:eastAsia="宋体" w:cs="Times New Roman"/>
      <w:sz w:val="18"/>
      <w:szCs w:val="18"/>
    </w:rPr>
  </w:style>
  <w:style w:type="character" w:customStyle="1" w:styleId="61">
    <w:name w:val="副标题 Char"/>
    <w:basedOn w:val="40"/>
    <w:link w:val="25"/>
    <w:qFormat/>
    <w:uiPriority w:val="0"/>
    <w:rPr>
      <w:rFonts w:ascii="Times New Roman" w:hAnsi="Times New Roman" w:eastAsia="宋体" w:cs="Times New Roman"/>
      <w:b/>
      <w:bCs/>
      <w:kern w:val="28"/>
      <w:sz w:val="32"/>
      <w:szCs w:val="32"/>
    </w:rPr>
  </w:style>
  <w:style w:type="character" w:customStyle="1" w:styleId="62">
    <w:name w:val="正文文本缩进 3 Char"/>
    <w:link w:val="27"/>
    <w:qFormat/>
    <w:uiPriority w:val="99"/>
    <w:rPr>
      <w:rFonts w:ascii="Verdana" w:hAnsi="Verdana" w:eastAsia="仿宋_GB2312"/>
      <w:sz w:val="16"/>
      <w:szCs w:val="16"/>
      <w:lang w:eastAsia="en-US"/>
    </w:rPr>
  </w:style>
  <w:style w:type="character" w:customStyle="1" w:styleId="63">
    <w:name w:val="信息标题 Char"/>
    <w:basedOn w:val="40"/>
    <w:link w:val="30"/>
    <w:qFormat/>
    <w:uiPriority w:val="0"/>
    <w:rPr>
      <w:rFonts w:ascii="Arial" w:hAnsi="Arial" w:eastAsia="仿宋_GB2312" w:cs="Times New Roman"/>
      <w:spacing w:val="-5"/>
      <w:kern w:val="0"/>
      <w:sz w:val="24"/>
      <w:szCs w:val="20"/>
      <w:lang w:eastAsia="en-US" w:bidi="he-IL"/>
    </w:rPr>
  </w:style>
  <w:style w:type="character" w:customStyle="1" w:styleId="64">
    <w:name w:val="HTML 预设格式 Char"/>
    <w:link w:val="31"/>
    <w:qFormat/>
    <w:uiPriority w:val="0"/>
    <w:rPr>
      <w:rFonts w:ascii="宋体" w:hAnsi="宋体" w:cs="宋体"/>
      <w:sz w:val="24"/>
      <w:szCs w:val="24"/>
    </w:rPr>
  </w:style>
  <w:style w:type="character" w:customStyle="1" w:styleId="65">
    <w:name w:val="批注主题 Char"/>
    <w:link w:val="35"/>
    <w:qFormat/>
    <w:uiPriority w:val="99"/>
    <w:rPr>
      <w:rFonts w:ascii="Times New Roman" w:hAnsi="Times New Roman" w:eastAsia="宋体" w:cs="Times New Roman"/>
      <w:b/>
      <w:bCs/>
      <w:szCs w:val="24"/>
    </w:rPr>
  </w:style>
  <w:style w:type="paragraph" w:customStyle="1" w:styleId="66">
    <w:name w:val="样式1"/>
    <w:basedOn w:val="1"/>
    <w:qFormat/>
    <w:uiPriority w:val="99"/>
    <w:pPr>
      <w:spacing w:line="360" w:lineRule="auto"/>
      <w:ind w:firstLine="480" w:firstLineChars="200"/>
    </w:pPr>
    <w:rPr>
      <w:rFonts w:ascii="宋体" w:hAnsi="宋体" w:cs="Times New Roman"/>
      <w:sz w:val="24"/>
    </w:rPr>
  </w:style>
  <w:style w:type="character" w:customStyle="1" w:styleId="67">
    <w:name w:val="标题 2 Char Char Char Char Char Char Char"/>
    <w:qFormat/>
    <w:uiPriority w:val="0"/>
    <w:rPr>
      <w:rFonts w:ascii="Arial" w:hAnsi="Arial" w:eastAsia="黑体"/>
      <w:b/>
      <w:bCs/>
      <w:kern w:val="2"/>
      <w:sz w:val="32"/>
      <w:szCs w:val="32"/>
      <w:lang w:val="en-US" w:eastAsia="zh-CN"/>
    </w:rPr>
  </w:style>
  <w:style w:type="character" w:customStyle="1" w:styleId="68">
    <w:name w:val="纯文本 Char1"/>
    <w:qFormat/>
    <w:uiPriority w:val="0"/>
    <w:rPr>
      <w:rFonts w:hint="eastAsia" w:ascii="宋体" w:hAnsi="Courier New" w:eastAsia="宋体" w:cs="Courier New"/>
      <w:kern w:val="2"/>
      <w:sz w:val="21"/>
      <w:szCs w:val="21"/>
    </w:rPr>
  </w:style>
  <w:style w:type="character" w:customStyle="1" w:styleId="69">
    <w:name w:val="样式 Char"/>
    <w:link w:val="70"/>
    <w:qFormat/>
    <w:locked/>
    <w:uiPriority w:val="0"/>
    <w:rPr>
      <w:rFonts w:ascii="宋体" w:hAnsi="宋体"/>
      <w:sz w:val="24"/>
    </w:rPr>
  </w:style>
  <w:style w:type="paragraph" w:customStyle="1" w:styleId="70">
    <w:name w:val="样式"/>
    <w:link w:val="69"/>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71">
    <w:name w:val="标题1 Char Char Char Char"/>
    <w:link w:val="72"/>
    <w:qFormat/>
    <w:locked/>
    <w:uiPriority w:val="0"/>
    <w:rPr>
      <w:b/>
      <w:kern w:val="44"/>
      <w:sz w:val="28"/>
    </w:rPr>
  </w:style>
  <w:style w:type="paragraph" w:customStyle="1" w:styleId="72">
    <w:name w:val="标题1 Char Char Char"/>
    <w:basedOn w:val="3"/>
    <w:link w:val="71"/>
    <w:qFormat/>
    <w:uiPriority w:val="0"/>
    <w:pPr>
      <w:tabs>
        <w:tab w:val="center" w:pos="4512"/>
        <w:tab w:val="center" w:pos="4606"/>
      </w:tabs>
      <w:adjustRightInd w:val="0"/>
      <w:snapToGrid w:val="0"/>
      <w:spacing w:beforeLines="50"/>
      <w:outlineLvl w:val="1"/>
    </w:pPr>
    <w:rPr>
      <w:rFonts w:asciiTheme="minorHAnsi" w:hAnsiTheme="minorHAnsi" w:eastAsiaTheme="minorEastAsia" w:cstheme="minorBidi"/>
      <w:bCs w:val="0"/>
      <w:color w:val="auto"/>
      <w:sz w:val="28"/>
      <w:szCs w:val="22"/>
    </w:rPr>
  </w:style>
  <w:style w:type="paragraph" w:styleId="73">
    <w:name w:val="List Paragraph"/>
    <w:basedOn w:val="1"/>
    <w:qFormat/>
    <w:uiPriority w:val="34"/>
    <w:pPr>
      <w:ind w:firstLine="420" w:firstLineChars="200"/>
    </w:pPr>
    <w:rPr>
      <w:szCs w:val="20"/>
    </w:rPr>
  </w:style>
  <w:style w:type="character" w:customStyle="1" w:styleId="74">
    <w:name w:val="批注文字 Char1"/>
    <w:basedOn w:val="40"/>
    <w:semiHidden/>
    <w:qFormat/>
    <w:uiPriority w:val="99"/>
    <w:rPr>
      <w:rFonts w:ascii="Calibri" w:hAnsi="Calibri" w:eastAsia="宋体" w:cs="Calibri"/>
      <w:szCs w:val="24"/>
    </w:rPr>
  </w:style>
  <w:style w:type="paragraph" w:customStyle="1" w:styleId="75">
    <w:name w:val="TOC 标题1"/>
    <w:basedOn w:val="3"/>
    <w:next w:val="1"/>
    <w:qFormat/>
    <w:uiPriority w:val="99"/>
    <w:pPr>
      <w:widowControl/>
      <w:spacing w:before="480" w:line="276" w:lineRule="auto"/>
      <w:jc w:val="left"/>
      <w:outlineLvl w:val="9"/>
    </w:pPr>
    <w:rPr>
      <w:rFonts w:ascii="Cambria" w:hAnsi="Cambria" w:eastAsia="宋体" w:cs="Times New Roman"/>
      <w:color w:val="365F91"/>
      <w:kern w:val="0"/>
      <w:sz w:val="28"/>
      <w:szCs w:val="28"/>
    </w:rPr>
  </w:style>
  <w:style w:type="character" w:customStyle="1" w:styleId="76">
    <w:name w:val="页眉 Char1"/>
    <w:basedOn w:val="40"/>
    <w:semiHidden/>
    <w:qFormat/>
    <w:uiPriority w:val="99"/>
    <w:rPr>
      <w:rFonts w:ascii="Calibri" w:hAnsi="Calibri" w:eastAsia="宋体" w:cs="Calibri"/>
      <w:sz w:val="18"/>
      <w:szCs w:val="18"/>
    </w:rPr>
  </w:style>
  <w:style w:type="character" w:customStyle="1" w:styleId="77">
    <w:name w:val="纯文本 Char2"/>
    <w:basedOn w:val="40"/>
    <w:semiHidden/>
    <w:qFormat/>
    <w:uiPriority w:val="99"/>
    <w:rPr>
      <w:rFonts w:ascii="宋体" w:hAnsi="Courier New" w:eastAsia="宋体" w:cs="Courier New"/>
      <w:szCs w:val="21"/>
    </w:rPr>
  </w:style>
  <w:style w:type="character" w:customStyle="1" w:styleId="78">
    <w:name w:val="批注框文本 Char1"/>
    <w:basedOn w:val="40"/>
    <w:semiHidden/>
    <w:qFormat/>
    <w:uiPriority w:val="99"/>
    <w:rPr>
      <w:rFonts w:ascii="Calibri" w:hAnsi="Calibri" w:eastAsia="宋体" w:cs="Calibri"/>
      <w:sz w:val="18"/>
      <w:szCs w:val="18"/>
    </w:rPr>
  </w:style>
  <w:style w:type="character" w:customStyle="1" w:styleId="79">
    <w:name w:val="批注主题 Char1"/>
    <w:basedOn w:val="74"/>
    <w:semiHidden/>
    <w:qFormat/>
    <w:uiPriority w:val="99"/>
    <w:rPr>
      <w:rFonts w:ascii="Calibri" w:hAnsi="Calibri" w:eastAsia="宋体" w:cs="Calibri"/>
      <w:b/>
      <w:bCs/>
      <w:szCs w:val="24"/>
    </w:rPr>
  </w:style>
  <w:style w:type="character" w:customStyle="1" w:styleId="80">
    <w:name w:val="HTML 预设格式 Char1"/>
    <w:basedOn w:val="40"/>
    <w:semiHidden/>
    <w:qFormat/>
    <w:uiPriority w:val="99"/>
    <w:rPr>
      <w:rFonts w:ascii="Courier New" w:hAnsi="Courier New" w:eastAsia="宋体" w:cs="Courier New"/>
      <w:sz w:val="20"/>
      <w:szCs w:val="20"/>
    </w:rPr>
  </w:style>
  <w:style w:type="character" w:customStyle="1" w:styleId="81">
    <w:name w:val="页脚 Char1"/>
    <w:basedOn w:val="40"/>
    <w:semiHidden/>
    <w:qFormat/>
    <w:uiPriority w:val="99"/>
    <w:rPr>
      <w:rFonts w:ascii="Calibri" w:hAnsi="Calibri" w:eastAsia="宋体" w:cs="Calibri"/>
      <w:sz w:val="18"/>
      <w:szCs w:val="18"/>
    </w:rPr>
  </w:style>
  <w:style w:type="paragraph" w:customStyle="1" w:styleId="82">
    <w:name w:val="A列表"/>
    <w:basedOn w:val="1"/>
    <w:qFormat/>
    <w:uiPriority w:val="0"/>
    <w:pPr>
      <w:adjustRightInd w:val="0"/>
      <w:snapToGrid w:val="0"/>
      <w:spacing w:before="40" w:line="360" w:lineRule="auto"/>
      <w:jc w:val="left"/>
    </w:pPr>
    <w:rPr>
      <w:kern w:val="0"/>
      <w:sz w:val="24"/>
      <w:szCs w:val="20"/>
    </w:rPr>
  </w:style>
  <w:style w:type="paragraph" w:customStyle="1" w:styleId="83">
    <w:name w:val="修订1"/>
    <w:semiHidden/>
    <w:qFormat/>
    <w:uiPriority w:val="99"/>
    <w:rPr>
      <w:rFonts w:ascii="Calibri" w:hAnsi="Calibri" w:eastAsia="宋体" w:cs="Calibri"/>
      <w:kern w:val="2"/>
      <w:sz w:val="21"/>
      <w:szCs w:val="24"/>
      <w:lang w:val="en-US" w:eastAsia="zh-CN" w:bidi="ar-SA"/>
    </w:rPr>
  </w:style>
  <w:style w:type="character" w:customStyle="1" w:styleId="84">
    <w:name w:val="未处理的提及1"/>
    <w:semiHidden/>
    <w:unhideWhenUsed/>
    <w:qFormat/>
    <w:uiPriority w:val="99"/>
    <w:rPr>
      <w:color w:val="605E5C"/>
      <w:shd w:val="clear" w:color="auto" w:fill="E1DFDD"/>
    </w:rPr>
  </w:style>
  <w:style w:type="paragraph" w:customStyle="1" w:styleId="85">
    <w:name w:val="TOC 标题11"/>
    <w:basedOn w:val="3"/>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86">
    <w:name w:val="_Style 2"/>
    <w:qFormat/>
    <w:uiPriority w:val="1"/>
    <w:pPr>
      <w:widowControl w:val="0"/>
      <w:jc w:val="both"/>
    </w:pPr>
    <w:rPr>
      <w:rFonts w:ascii="Calibri" w:hAnsi="Calibri" w:eastAsia="宋体" w:cs="黑体"/>
      <w:kern w:val="2"/>
      <w:sz w:val="21"/>
      <w:szCs w:val="22"/>
      <w:lang w:val="en-US" w:eastAsia="zh-CN" w:bidi="ar-SA"/>
    </w:rPr>
  </w:style>
  <w:style w:type="paragraph" w:customStyle="1" w:styleId="87">
    <w:name w:val="纯文本1"/>
    <w:basedOn w:val="1"/>
    <w:qFormat/>
    <w:uiPriority w:val="0"/>
    <w:rPr>
      <w:rFonts w:ascii="宋体" w:hAnsi="Courier New" w:cs="Times New Roman"/>
    </w:rPr>
  </w:style>
  <w:style w:type="character" w:customStyle="1" w:styleId="88">
    <w:name w:val="gray"/>
    <w:basedOn w:val="40"/>
    <w:qFormat/>
    <w:uiPriority w:val="0"/>
    <w:rPr>
      <w:color w:val="BBBBBB"/>
    </w:rPr>
  </w:style>
  <w:style w:type="paragraph" w:customStyle="1" w:styleId="89">
    <w:name w:val="p0"/>
    <w:basedOn w:val="1"/>
    <w:qFormat/>
    <w:uiPriority w:val="0"/>
    <w:pPr>
      <w:widowControl/>
    </w:pPr>
    <w:rPr>
      <w:rFonts w:ascii="Times New Roman" w:hAnsi="Times New Roman" w:cs="Times New Roman"/>
      <w:kern w:val="0"/>
      <w:szCs w:val="21"/>
    </w:rPr>
  </w:style>
  <w:style w:type="character" w:customStyle="1" w:styleId="90">
    <w:name w:val="文字 Char Char"/>
    <w:link w:val="91"/>
    <w:qFormat/>
    <w:uiPriority w:val="0"/>
    <w:rPr>
      <w:sz w:val="24"/>
    </w:rPr>
  </w:style>
  <w:style w:type="paragraph" w:customStyle="1" w:styleId="91">
    <w:name w:val="文字"/>
    <w:basedOn w:val="1"/>
    <w:link w:val="90"/>
    <w:qFormat/>
    <w:uiPriority w:val="0"/>
    <w:pPr>
      <w:spacing w:line="360" w:lineRule="auto"/>
      <w:ind w:firstLine="480" w:firstLineChars="200"/>
      <w:jc w:val="left"/>
    </w:pPr>
    <w:rPr>
      <w:rFonts w:asciiTheme="minorHAnsi" w:hAnsiTheme="minorHAnsi" w:eastAsiaTheme="minorEastAsia" w:cstheme="minorBidi"/>
      <w:sz w:val="24"/>
      <w:szCs w:val="22"/>
    </w:rPr>
  </w:style>
  <w:style w:type="paragraph" w:customStyle="1" w:styleId="92">
    <w:name w:val="_Style 4"/>
    <w:basedOn w:val="1"/>
    <w:qFormat/>
    <w:uiPriority w:val="0"/>
    <w:pPr>
      <w:widowControl/>
      <w:spacing w:after="160" w:line="240" w:lineRule="exact"/>
      <w:jc w:val="left"/>
    </w:pPr>
    <w:rPr>
      <w:rFonts w:ascii="Verdana" w:hAnsi="Verdana" w:eastAsia="仿宋_GB2312" w:cs="Times New Roman"/>
      <w:sz w:val="24"/>
      <w:szCs w:val="20"/>
      <w:lang w:eastAsia="en-US"/>
    </w:rPr>
  </w:style>
  <w:style w:type="character" w:customStyle="1" w:styleId="93">
    <w:name w:val="正文文本缩进 3 Char1"/>
    <w:basedOn w:val="40"/>
    <w:semiHidden/>
    <w:qFormat/>
    <w:uiPriority w:val="99"/>
    <w:rPr>
      <w:rFonts w:ascii="Calibri" w:hAnsi="Calibri" w:eastAsia="宋体" w:cs="Calibri"/>
      <w:sz w:val="16"/>
      <w:szCs w:val="16"/>
    </w:rPr>
  </w:style>
  <w:style w:type="paragraph" w:customStyle="1" w:styleId="94">
    <w:name w:val="正文（首行缩进两字） Char Char Char Char Char Char Char"/>
    <w:basedOn w:val="1"/>
    <w:next w:val="1"/>
    <w:qFormat/>
    <w:uiPriority w:val="0"/>
    <w:pPr>
      <w:spacing w:line="380" w:lineRule="atLeast"/>
      <w:ind w:firstLine="480" w:firstLineChars="200"/>
    </w:pPr>
    <w:rPr>
      <w:rFonts w:ascii="宋体" w:hAnsi="宋体" w:cs="Times New Roman"/>
      <w:sz w:val="24"/>
      <w:szCs w:val="20"/>
    </w:rPr>
  </w:style>
  <w:style w:type="paragraph" w:customStyle="1" w:styleId="9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6">
    <w:name w:val="第三标题"/>
    <w:basedOn w:val="1"/>
    <w:qFormat/>
    <w:uiPriority w:val="0"/>
    <w:pPr>
      <w:spacing w:before="120" w:line="360" w:lineRule="auto"/>
      <w:ind w:firstLine="200" w:firstLineChars="200"/>
      <w:jc w:val="left"/>
      <w:outlineLvl w:val="2"/>
    </w:pPr>
    <w:rPr>
      <w:rFonts w:ascii="Times New Roman" w:hAnsi="Times New Roman" w:cs="Times New Roman"/>
      <w:b/>
      <w:sz w:val="28"/>
    </w:rPr>
  </w:style>
  <w:style w:type="paragraph" w:customStyle="1" w:styleId="97">
    <w:name w:val="Char Char"/>
    <w:basedOn w:val="1"/>
    <w:qFormat/>
    <w:uiPriority w:val="99"/>
    <w:pPr>
      <w:widowControl/>
      <w:spacing w:after="160" w:line="240" w:lineRule="exact"/>
      <w:jc w:val="left"/>
    </w:pPr>
    <w:rPr>
      <w:rFonts w:ascii="Verdana" w:hAnsi="Verdana" w:eastAsia="仿宋_GB2312" w:cs="Times New Roman"/>
      <w:sz w:val="24"/>
      <w:szCs w:val="20"/>
      <w:lang w:eastAsia="en-US"/>
    </w:rPr>
  </w:style>
  <w:style w:type="paragraph" w:customStyle="1" w:styleId="98">
    <w:name w:val="默认段落字体 Para Char Char Char Char"/>
    <w:basedOn w:val="1"/>
    <w:qFormat/>
    <w:uiPriority w:val="0"/>
    <w:rPr>
      <w:rFonts w:ascii="Times New Roman" w:hAnsi="Times New Roman" w:cs="Times New Roman"/>
    </w:rPr>
  </w:style>
  <w:style w:type="paragraph" w:customStyle="1" w:styleId="99">
    <w:name w:val="A标题4"/>
    <w:basedOn w:val="5"/>
    <w:next w:val="1"/>
    <w:qFormat/>
    <w:uiPriority w:val="0"/>
    <w:pPr>
      <w:keepNext w:val="0"/>
      <w:keepLines w:val="0"/>
      <w:tabs>
        <w:tab w:val="left" w:pos="851"/>
      </w:tabs>
      <w:spacing w:before="0" w:after="80" w:line="360" w:lineRule="auto"/>
      <w:ind w:left="851" w:hanging="851"/>
    </w:pPr>
    <w:rPr>
      <w:rFonts w:ascii="Times New Roman" w:hAnsi="Times New Roman" w:eastAsia="宋体"/>
      <w:b w:val="0"/>
      <w:bCs w:val="0"/>
      <w:kern w:val="0"/>
      <w:sz w:val="24"/>
      <w:szCs w:val="20"/>
    </w:rPr>
  </w:style>
  <w:style w:type="character" w:customStyle="1" w:styleId="100">
    <w:name w:val="font31"/>
    <w:qFormat/>
    <w:uiPriority w:val="0"/>
    <w:rPr>
      <w:rFonts w:hint="eastAsia" w:ascii="宋体" w:hAnsi="宋体" w:eastAsia="宋体" w:cs="宋体"/>
      <w:color w:val="000000"/>
      <w:sz w:val="20"/>
      <w:szCs w:val="20"/>
      <w:u w:val="none"/>
      <w:lang w:val="en-US" w:eastAsia="en-US" w:bidi="ar-SA"/>
    </w:rPr>
  </w:style>
  <w:style w:type="character" w:customStyle="1" w:styleId="101">
    <w:name w:val="消息标题标签"/>
    <w:qFormat/>
    <w:uiPriority w:val="0"/>
    <w:rPr>
      <w:rFonts w:ascii="Arial Black" w:hAnsi="Arial Black" w:eastAsia="黑体"/>
      <w:b/>
      <w:sz w:val="18"/>
      <w:lang w:eastAsia="zh-CN"/>
    </w:rPr>
  </w:style>
  <w:style w:type="character" w:customStyle="1" w:styleId="102">
    <w:name w:val="font51"/>
    <w:qFormat/>
    <w:uiPriority w:val="0"/>
    <w:rPr>
      <w:rFonts w:hint="eastAsia" w:ascii="宋体" w:hAnsi="宋体" w:eastAsia="宋体" w:cs="宋体"/>
      <w:color w:val="000000"/>
      <w:sz w:val="24"/>
      <w:szCs w:val="24"/>
      <w:u w:val="none"/>
      <w:lang w:val="en-US" w:eastAsia="en-US" w:bidi="ar-SA"/>
    </w:rPr>
  </w:style>
  <w:style w:type="paragraph" w:customStyle="1" w:styleId="103">
    <w:name w:val="_Style 5"/>
    <w:basedOn w:val="1"/>
    <w:qFormat/>
    <w:uiPriority w:val="0"/>
    <w:pPr>
      <w:widowControl/>
      <w:spacing w:after="160" w:line="240" w:lineRule="exact"/>
      <w:jc w:val="left"/>
    </w:pPr>
    <w:rPr>
      <w:rFonts w:ascii="Verdana" w:hAnsi="Verdana" w:eastAsia="仿宋_GB2312" w:cs="Times New Roman"/>
      <w:sz w:val="24"/>
      <w:szCs w:val="20"/>
      <w:lang w:eastAsia="en-US"/>
    </w:rPr>
  </w:style>
  <w:style w:type="paragraph" w:customStyle="1" w:styleId="104">
    <w:name w:val="首消息标题"/>
    <w:basedOn w:val="30"/>
    <w:next w:val="30"/>
    <w:qFormat/>
    <w:uiPriority w:val="0"/>
  </w:style>
  <w:style w:type="paragraph" w:customStyle="1" w:styleId="105">
    <w:name w:val="_Style 6"/>
    <w:basedOn w:val="1"/>
    <w:qFormat/>
    <w:uiPriority w:val="0"/>
    <w:pPr>
      <w:widowControl/>
      <w:spacing w:after="160" w:line="240" w:lineRule="exact"/>
      <w:jc w:val="left"/>
    </w:pPr>
    <w:rPr>
      <w:rFonts w:ascii="Verdana" w:hAnsi="Verdana" w:eastAsia="仿宋_GB2312" w:cs="Times New Roman"/>
      <w:sz w:val="24"/>
      <w:szCs w:val="20"/>
      <w:lang w:eastAsia="en-US"/>
    </w:rPr>
  </w:style>
  <w:style w:type="paragraph" w:customStyle="1" w:styleId="106">
    <w:name w:val="一级标题"/>
    <w:basedOn w:val="1"/>
    <w:qFormat/>
    <w:uiPriority w:val="0"/>
    <w:pPr>
      <w:spacing w:line="360" w:lineRule="auto"/>
      <w:ind w:firstLine="200" w:firstLineChars="200"/>
      <w:jc w:val="left"/>
    </w:pPr>
    <w:rPr>
      <w:rFonts w:ascii="仿宋_GB2312" w:hAnsi="仿宋" w:eastAsia="仿宋_GB2312" w:cs="Times New Roman"/>
      <w:b/>
      <w:sz w:val="24"/>
    </w:rPr>
  </w:style>
  <w:style w:type="character" w:customStyle="1" w:styleId="107">
    <w:name w:val="日期 Char1"/>
    <w:basedOn w:val="40"/>
    <w:semiHidden/>
    <w:qFormat/>
    <w:uiPriority w:val="99"/>
    <w:rPr>
      <w:rFonts w:ascii="Times New Roman" w:hAnsi="Times New Roman" w:eastAsia="宋体" w:cs="Times New Roman"/>
      <w:kern w:val="2"/>
      <w:sz w:val="21"/>
      <w:szCs w:val="24"/>
    </w:rPr>
  </w:style>
  <w:style w:type="table" w:customStyle="1" w:styleId="108">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2"/>
    <w:hidden/>
    <w:unhideWhenUsed/>
    <w:qFormat/>
    <w:uiPriority w:val="99"/>
    <w:rPr>
      <w:rFonts w:ascii="Calibri" w:hAnsi="Calibri" w:eastAsia="宋体" w:cs="Calibri"/>
      <w:kern w:val="2"/>
      <w:sz w:val="21"/>
      <w:szCs w:val="24"/>
      <w:lang w:val="en-US" w:eastAsia="zh-CN" w:bidi="ar-SA"/>
    </w:rPr>
  </w:style>
  <w:style w:type="paragraph" w:customStyle="1" w:styleId="110">
    <w:name w:val="表"/>
    <w:basedOn w:val="1"/>
    <w:qFormat/>
    <w:uiPriority w:val="0"/>
    <w:pPr>
      <w:snapToGrid w:val="0"/>
      <w:spacing w:before="60" w:after="60"/>
      <w:jc w:val="center"/>
    </w:pPr>
    <w:rPr>
      <w:rFonts w:ascii="宋体" w:hAnsi="Times New Roman" w:cs="Times New Roman"/>
      <w:sz w:val="24"/>
    </w:rPr>
  </w:style>
  <w:style w:type="character" w:customStyle="1" w:styleId="111">
    <w:name w:val="cancel"/>
    <w:basedOn w:val="40"/>
    <w:qFormat/>
    <w:uiPriority w:val="0"/>
  </w:style>
  <w:style w:type="character" w:customStyle="1" w:styleId="112">
    <w:name w:val="无间隔 Char"/>
    <w:link w:val="113"/>
    <w:qFormat/>
    <w:locked/>
    <w:uiPriority w:val="1"/>
    <w:rPr>
      <w:sz w:val="22"/>
      <w:szCs w:val="22"/>
    </w:rPr>
  </w:style>
  <w:style w:type="paragraph" w:customStyle="1" w:styleId="113">
    <w:name w:val="无间隔1"/>
    <w:link w:val="112"/>
    <w:qFormat/>
    <w:uiPriority w:val="99"/>
    <w:rPr>
      <w:rFonts w:asciiTheme="minorHAnsi" w:hAnsiTheme="minorHAnsi" w:eastAsiaTheme="minorEastAsia" w:cstheme="minorBidi"/>
      <w:sz w:val="22"/>
      <w:szCs w:val="22"/>
      <w:lang w:val="en-US" w:eastAsia="zh-CN" w:bidi="ar-SA"/>
    </w:rPr>
  </w:style>
  <w:style w:type="paragraph" w:customStyle="1" w:styleId="114">
    <w:name w:val="列出段落1"/>
    <w:basedOn w:val="1"/>
    <w:qFormat/>
    <w:uiPriority w:val="99"/>
    <w:pPr>
      <w:ind w:firstLine="420" w:firstLineChars="200"/>
    </w:pPr>
    <w:rPr>
      <w:rFonts w:ascii="Times New Roman" w:hAnsi="Times New Roman" w:cs="Times New Roman"/>
      <w:sz w:val="24"/>
      <w:szCs w:val="20"/>
    </w:rPr>
  </w:style>
  <w:style w:type="character" w:customStyle="1" w:styleId="115">
    <w:name w:val="font21"/>
    <w:basedOn w:val="40"/>
    <w:qFormat/>
    <w:uiPriority w:val="0"/>
    <w:rPr>
      <w:rFonts w:hint="default" w:ascii="仿宋_GB2312" w:eastAsia="仿宋_GB2312" w:cs="仿宋_GB2312"/>
      <w:color w:val="000000"/>
      <w:sz w:val="24"/>
      <w:szCs w:val="24"/>
      <w:u w:val="none"/>
    </w:rPr>
  </w:style>
  <w:style w:type="paragraph" w:customStyle="1" w:styleId="116">
    <w:name w:val="样式 宋体 小四 黑色 行距: 1.5 倍行距"/>
    <w:basedOn w:val="1"/>
    <w:qFormat/>
    <w:uiPriority w:val="0"/>
    <w:pPr>
      <w:adjustRightInd w:val="0"/>
      <w:snapToGrid w:val="0"/>
      <w:spacing w:beforeLines="50" w:line="400" w:lineRule="exact"/>
      <w:ind w:firstLine="200" w:firstLineChars="200"/>
    </w:pPr>
    <w:rPr>
      <w:rFonts w:ascii="宋体" w:hAnsi="Times New Roman" w:cs="宋体"/>
      <w:color w:val="000000"/>
      <w:sz w:val="24"/>
    </w:rPr>
  </w:style>
  <w:style w:type="paragraph" w:customStyle="1" w:styleId="117">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cs="Times New Roman"/>
      <w:kern w:val="0"/>
      <w:position w:val="-6"/>
      <w:sz w:val="24"/>
      <w:lang w:val="fr-FR"/>
    </w:rPr>
  </w:style>
  <w:style w:type="paragraph" w:customStyle="1" w:styleId="1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正文5号无缩进"/>
    <w:basedOn w:val="1"/>
    <w:qFormat/>
    <w:uiPriority w:val="0"/>
    <w:pPr>
      <w:jc w:val="left"/>
    </w:pPr>
    <w:rPr>
      <w:rFonts w:cs="Times New Roman"/>
      <w:sz w:val="24"/>
      <w:szCs w:val="21"/>
    </w:rPr>
  </w:style>
  <w:style w:type="paragraph" w:customStyle="1" w:styleId="120">
    <w:name w:val="1级正文"/>
    <w:qFormat/>
    <w:uiPriority w:val="0"/>
    <w:pPr>
      <w:widowControl w:val="0"/>
      <w:numPr>
        <w:ilvl w:val="4"/>
        <w:numId w:val="1"/>
      </w:numPr>
      <w:adjustRightInd w:val="0"/>
      <w:spacing w:line="360" w:lineRule="auto"/>
      <w:jc w:val="both"/>
    </w:pPr>
    <w:rPr>
      <w:rFonts w:ascii="Times New Roman" w:hAnsi="Times New Roman" w:eastAsia="宋体" w:cs="Times New Roman"/>
      <w:kern w:val="2"/>
      <w:sz w:val="24"/>
      <w:szCs w:val="28"/>
      <w:lang w:val="en-US" w:eastAsia="zh-CN" w:bidi="ar-SA"/>
    </w:rPr>
  </w:style>
  <w:style w:type="paragraph" w:customStyle="1" w:styleId="121">
    <w:name w:val="2级正文"/>
    <w:next w:val="122"/>
    <w:qFormat/>
    <w:uiPriority w:val="0"/>
    <w:pPr>
      <w:numPr>
        <w:ilvl w:val="5"/>
        <w:numId w:val="1"/>
      </w:numPr>
      <w:spacing w:line="360" w:lineRule="auto"/>
    </w:pPr>
    <w:rPr>
      <w:rFonts w:ascii="Times New Roman" w:hAnsi="Times New Roman" w:eastAsia="宋体" w:cs="Times New Roman"/>
      <w:kern w:val="2"/>
      <w:sz w:val="24"/>
      <w:szCs w:val="22"/>
      <w:lang w:val="en-US" w:eastAsia="zh-CN" w:bidi="ar-SA"/>
    </w:rPr>
  </w:style>
  <w:style w:type="paragraph" w:customStyle="1" w:styleId="122">
    <w:name w:val="3级正文"/>
    <w:next w:val="1"/>
    <w:qFormat/>
    <w:uiPriority w:val="0"/>
    <w:pPr>
      <w:widowControl w:val="0"/>
      <w:numPr>
        <w:ilvl w:val="6"/>
        <w:numId w:val="1"/>
      </w:numPr>
      <w:spacing w:line="360" w:lineRule="auto"/>
      <w:jc w:val="both"/>
    </w:pPr>
    <w:rPr>
      <w:rFonts w:ascii="Times New Roman" w:hAnsi="Times New Roman" w:eastAsia="宋体" w:cs="Times New Roman"/>
      <w:bCs/>
      <w:color w:val="000000"/>
      <w:kern w:val="2"/>
      <w:sz w:val="24"/>
      <w:szCs w:val="36"/>
      <w:lang w:val="en-US" w:eastAsia="zh-CN" w:bidi="ar-SA"/>
    </w:rPr>
  </w:style>
  <w:style w:type="paragraph" w:customStyle="1" w:styleId="123">
    <w:name w:val="4级标题"/>
    <w:qFormat/>
    <w:uiPriority w:val="0"/>
    <w:pPr>
      <w:numPr>
        <w:ilvl w:val="3"/>
        <w:numId w:val="1"/>
      </w:numPr>
      <w:spacing w:line="360" w:lineRule="auto"/>
    </w:pPr>
    <w:rPr>
      <w:rFonts w:ascii="Times New Roman" w:hAnsi="Times New Roman" w:eastAsia="宋体" w:cs="Times New Roman"/>
      <w:kern w:val="2"/>
      <w:sz w:val="24"/>
      <w:szCs w:val="28"/>
      <w:lang w:val="zh-CN" w:eastAsia="zh-CN" w:bidi="ar-SA"/>
    </w:rPr>
  </w:style>
  <w:style w:type="paragraph" w:customStyle="1" w:styleId="124">
    <w:name w:val="TOC 标题2"/>
    <w:basedOn w:val="3"/>
    <w:next w:val="1"/>
    <w:semiHidden/>
    <w:unhideWhenUsed/>
    <w:qFormat/>
    <w:uiPriority w:val="39"/>
    <w:pPr>
      <w:spacing w:before="340" w:after="330" w:line="578" w:lineRule="auto"/>
      <w:jc w:val="both"/>
      <w:outlineLvl w:val="9"/>
    </w:pPr>
    <w:rPr>
      <w:rFonts w:ascii="Calibri" w:hAnsi="Calibri" w:eastAsia="宋体"/>
      <w:color w:val="auto"/>
      <w:sz w:val="44"/>
    </w:rPr>
  </w:style>
  <w:style w:type="character" w:customStyle="1" w:styleId="125">
    <w:name w:val="未处理的提及2"/>
    <w:basedOn w:val="40"/>
    <w:semiHidden/>
    <w:unhideWhenUsed/>
    <w:qFormat/>
    <w:uiPriority w:val="99"/>
    <w:rPr>
      <w:color w:val="605E5C"/>
      <w:shd w:val="clear" w:color="auto" w:fill="E1DFDD"/>
    </w:rPr>
  </w:style>
  <w:style w:type="character" w:styleId="126">
    <w:name w:val="Placeholder Text"/>
    <w:basedOn w:val="40"/>
    <w:semiHidden/>
    <w:qFormat/>
    <w:uiPriority w:val="99"/>
    <w:rPr>
      <w:color w:val="808080"/>
    </w:rPr>
  </w:style>
  <w:style w:type="character" w:customStyle="1" w:styleId="127">
    <w:name w:val="纯文本 Char"/>
    <w:qFormat/>
    <w:uiPriority w:val="0"/>
    <w:rPr>
      <w:rFonts w:ascii="黑体" w:hAnsi="Courier New" w:eastAsia="黑体"/>
      <w:b/>
      <w:spacing w:val="80"/>
      <w:kern w:val="2"/>
      <w:sz w:val="44"/>
      <w:lang w:val="en-US" w:eastAsia="zh-CN" w:bidi="ar-SA"/>
    </w:rPr>
  </w:style>
  <w:style w:type="table" w:customStyle="1" w:styleId="12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29">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3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1">
    <w:name w:val="font6"/>
    <w:basedOn w:val="1"/>
    <w:qFormat/>
    <w:uiPriority w:val="99"/>
    <w:pPr>
      <w:widowControl/>
      <w:spacing w:before="100" w:beforeAutospacing="1" w:after="100" w:afterAutospacing="1"/>
      <w:jc w:val="left"/>
    </w:pPr>
    <w:rPr>
      <w:rFonts w:ascii="Times New Roman" w:hAnsi="Times New Roman" w:cs="Times New Roman"/>
      <w:kern w:val="0"/>
      <w:sz w:val="22"/>
      <w:szCs w:val="22"/>
    </w:rPr>
  </w:style>
  <w:style w:type="paragraph" w:customStyle="1" w:styleId="132">
    <w:name w:val="font7"/>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33">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4">
    <w:name w:val="font9"/>
    <w:basedOn w:val="1"/>
    <w:qFormat/>
    <w:uiPriority w:val="99"/>
    <w:pPr>
      <w:widowControl/>
      <w:spacing w:before="100" w:beforeAutospacing="1" w:after="100" w:afterAutospacing="1"/>
      <w:jc w:val="left"/>
    </w:pPr>
    <w:rPr>
      <w:rFonts w:ascii="宋体" w:hAnsi="宋体" w:cs="宋体"/>
      <w:color w:val="FF0000"/>
      <w:kern w:val="0"/>
      <w:sz w:val="22"/>
      <w:szCs w:val="22"/>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5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5">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kern w:val="0"/>
      <w:sz w:val="24"/>
    </w:rPr>
  </w:style>
  <w:style w:type="paragraph" w:customStyle="1" w:styleId="1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宋体" w:hAnsi="宋体" w:cs="宋体"/>
      <w:kern w:val="0"/>
      <w:sz w:val="24"/>
    </w:rPr>
  </w:style>
  <w:style w:type="paragraph" w:customStyle="1" w:styleId="16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kern w:val="0"/>
      <w:sz w:val="24"/>
    </w:rPr>
  </w:style>
  <w:style w:type="paragraph" w:customStyle="1" w:styleId="1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b/>
      <w:bCs/>
      <w:kern w:val="0"/>
      <w:sz w:val="24"/>
    </w:rPr>
  </w:style>
  <w:style w:type="paragraph" w:customStyle="1" w:styleId="1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7">
    <w:name w:val="xl10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xl108"/>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84">
    <w:name w:val="xl114"/>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85">
    <w:name w:val="xl115"/>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9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9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character" w:customStyle="1" w:styleId="198">
    <w:name w:val="标题 7 Char"/>
    <w:basedOn w:val="40"/>
    <w:link w:val="6"/>
    <w:qFormat/>
    <w:uiPriority w:val="0"/>
    <w:rPr>
      <w:b/>
      <w:sz w:val="24"/>
    </w:rPr>
  </w:style>
  <w:style w:type="character" w:customStyle="1" w:styleId="199">
    <w:name w:val="font01"/>
    <w:basedOn w:val="40"/>
    <w:qFormat/>
    <w:uiPriority w:val="0"/>
    <w:rPr>
      <w:rFonts w:ascii="Arial" w:hAnsi="Arial" w:cs="Arial"/>
      <w:color w:val="000000"/>
      <w:sz w:val="20"/>
      <w:szCs w:val="20"/>
      <w:u w:val="none"/>
    </w:rPr>
  </w:style>
  <w:style w:type="character" w:customStyle="1" w:styleId="200">
    <w:name w:val="font11"/>
    <w:basedOn w:val="40"/>
    <w:qFormat/>
    <w:uiPriority w:val="0"/>
    <w:rPr>
      <w:rFonts w:hint="eastAsia" w:ascii="宋体" w:hAnsi="宋体" w:eastAsia="宋体" w:cs="宋体"/>
      <w:color w:val="000000"/>
      <w:sz w:val="20"/>
      <w:szCs w:val="20"/>
      <w:u w:val="none"/>
    </w:rPr>
  </w:style>
  <w:style w:type="character" w:customStyle="1" w:styleId="201">
    <w:name w:val="para"/>
    <w:basedOn w:val="40"/>
    <w:qFormat/>
    <w:uiPriority w:val="0"/>
  </w:style>
  <w:style w:type="character" w:customStyle="1" w:styleId="202">
    <w:name w:val="apple-converted-space"/>
    <w:basedOn w:val="40"/>
    <w:qFormat/>
    <w:uiPriority w:val="0"/>
  </w:style>
  <w:style w:type="paragraph" w:customStyle="1" w:styleId="203">
    <w:name w:val="默认段落字体 Char Char Char"/>
    <w:basedOn w:val="1"/>
    <w:qFormat/>
    <w:uiPriority w:val="0"/>
    <w:rPr>
      <w:rFonts w:ascii="Times New Roman" w:hAnsi="Times New Roman" w:cs="Times New Roman"/>
      <w:sz w:val="24"/>
    </w:rPr>
  </w:style>
  <w:style w:type="paragraph" w:customStyle="1" w:styleId="204">
    <w:name w:val="标题2"/>
    <w:basedOn w:val="1"/>
    <w:qFormat/>
    <w:uiPriority w:val="0"/>
    <w:pPr>
      <w:adjustRightInd w:val="0"/>
      <w:spacing w:line="360" w:lineRule="atLeast"/>
      <w:ind w:firstLine="510"/>
      <w:jc w:val="left"/>
      <w:textAlignment w:val="baseline"/>
    </w:pPr>
    <w:rPr>
      <w:rFonts w:ascii="宋体" w:hAnsi="Times New Roman" w:cs="Times New Roman"/>
      <w:spacing w:val="20"/>
      <w:kern w:val="0"/>
      <w:position w:val="30"/>
      <w:szCs w:val="20"/>
    </w:rPr>
  </w:style>
  <w:style w:type="character" w:customStyle="1" w:styleId="205">
    <w:name w:val="标题 Char"/>
    <w:basedOn w:val="40"/>
    <w:link w:val="34"/>
    <w:qFormat/>
    <w:uiPriority w:val="0"/>
    <w:rPr>
      <w:rFonts w:ascii="Arial" w:hAnsi="Arial" w:eastAsia="黑体"/>
      <w:b/>
      <w:kern w:val="2"/>
      <w:sz w:val="32"/>
    </w:rPr>
  </w:style>
  <w:style w:type="paragraph" w:customStyle="1" w:styleId="206">
    <w:name w:val="正文1"/>
    <w:basedOn w:val="1"/>
    <w:qFormat/>
    <w:uiPriority w:val="0"/>
    <w:pPr>
      <w:adjustRightInd w:val="0"/>
      <w:spacing w:line="390" w:lineRule="atLeast"/>
      <w:textAlignment w:val="baseline"/>
    </w:pPr>
    <w:rPr>
      <w:rFonts w:ascii="宋体" w:hAnsi="Times New Roman" w:cs="Times New Roman"/>
      <w:kern w:val="0"/>
      <w:sz w:val="24"/>
      <w:szCs w:val="20"/>
    </w:rPr>
  </w:style>
  <w:style w:type="paragraph" w:customStyle="1" w:styleId="207">
    <w:name w:val="标准"/>
    <w:basedOn w:val="1"/>
    <w:qFormat/>
    <w:uiPriority w:val="0"/>
    <w:pPr>
      <w:adjustRightInd w:val="0"/>
      <w:spacing w:line="360" w:lineRule="auto"/>
      <w:jc w:val="right"/>
      <w:textAlignment w:val="baseline"/>
    </w:pPr>
    <w:rPr>
      <w:rFonts w:ascii="宋体" w:hAnsi="Times New Roman" w:cs="Times New Roman"/>
      <w:kern w:val="0"/>
      <w:sz w:val="28"/>
      <w:szCs w:val="20"/>
    </w:rPr>
  </w:style>
  <w:style w:type="paragraph" w:customStyle="1" w:styleId="20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9">
    <w:name w:val="Char"/>
    <w:basedOn w:val="1"/>
    <w:qFormat/>
    <w:uiPriority w:val="0"/>
    <w:rPr>
      <w:rFonts w:ascii="Times New Roman" w:hAnsi="Times New Roman" w:cs="Times New Roman"/>
    </w:rPr>
  </w:style>
  <w:style w:type="paragraph" w:customStyle="1" w:styleId="210">
    <w:name w:val="Char Char Char Char2"/>
    <w:basedOn w:val="1"/>
    <w:qFormat/>
    <w:uiPriority w:val="0"/>
    <w:rPr>
      <w:rFonts w:ascii="Arial" w:hAnsi="Arial" w:cs="Times New Roman"/>
      <w:szCs w:val="21"/>
    </w:rPr>
  </w:style>
  <w:style w:type="character" w:customStyle="1" w:styleId="211">
    <w:name w:val="正文文本缩进 2 Char"/>
    <w:basedOn w:val="40"/>
    <w:link w:val="19"/>
    <w:qFormat/>
    <w:uiPriority w:val="0"/>
    <w:rPr>
      <w:rFonts w:ascii="宋体"/>
      <w:sz w:val="24"/>
    </w:rPr>
  </w:style>
  <w:style w:type="paragraph" w:customStyle="1" w:styleId="212">
    <w:name w:val="日期1"/>
    <w:basedOn w:val="1"/>
    <w:next w:val="1"/>
    <w:qFormat/>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213">
    <w:name w:val="样式2"/>
    <w:basedOn w:val="1"/>
    <w:qFormat/>
    <w:uiPriority w:val="0"/>
    <w:pPr>
      <w:adjustRightInd w:val="0"/>
      <w:spacing w:line="410" w:lineRule="atLeast"/>
      <w:jc w:val="left"/>
      <w:textAlignment w:val="baseline"/>
    </w:pPr>
    <w:rPr>
      <w:rFonts w:ascii="Times New Roman" w:hAnsi="Times New Roman" w:cs="Times New Roman"/>
      <w:kern w:val="0"/>
      <w:sz w:val="24"/>
      <w:szCs w:val="20"/>
    </w:rPr>
  </w:style>
  <w:style w:type="character" w:customStyle="1" w:styleId="214">
    <w:name w:val="未处理的提及3"/>
    <w:basedOn w:val="40"/>
    <w:semiHidden/>
    <w:unhideWhenUsed/>
    <w:qFormat/>
    <w:uiPriority w:val="99"/>
    <w:rPr>
      <w:color w:val="605E5C"/>
      <w:shd w:val="clear" w:color="auto" w:fill="E1DFDD"/>
    </w:rPr>
  </w:style>
  <w:style w:type="paragraph" w:customStyle="1" w:styleId="215">
    <w:name w:val="Char1"/>
    <w:basedOn w:val="1"/>
    <w:qFormat/>
    <w:uiPriority w:val="0"/>
    <w:rPr>
      <w:rFonts w:ascii="Times New Roman" w:hAnsi="Times New Roman" w:cs="Times New Roman"/>
    </w:rPr>
  </w:style>
  <w:style w:type="paragraph" w:customStyle="1" w:styleId="216">
    <w:name w:val="Char Char Char Char21"/>
    <w:basedOn w:val="1"/>
    <w:qFormat/>
    <w:uiPriority w:val="0"/>
    <w:rPr>
      <w:rFonts w:ascii="Arial" w:hAnsi="Arial" w:cs="Times New Roman"/>
      <w:szCs w:val="21"/>
    </w:rPr>
  </w:style>
  <w:style w:type="paragraph" w:customStyle="1" w:styleId="217">
    <w:name w:val="日期2"/>
    <w:basedOn w:val="1"/>
    <w:next w:val="1"/>
    <w:qFormat/>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218">
    <w:name w:val="正  文"/>
    <w:basedOn w:val="1"/>
    <w:qFormat/>
    <w:uiPriority w:val="0"/>
    <w:pPr>
      <w:widowControl/>
      <w:adjustRightInd w:val="0"/>
      <w:snapToGrid w:val="0"/>
      <w:spacing w:line="360" w:lineRule="auto"/>
      <w:ind w:firstLine="200" w:firstLineChars="200"/>
      <w:jc w:val="left"/>
    </w:pPr>
    <w:rPr>
      <w:rFonts w:hint="eastAsia" w:ascii="宋体" w:hAnsi="Times New Roman" w:cs="Times New Roman"/>
      <w:kern w:val="0"/>
      <w:sz w:val="24"/>
      <w:szCs w:val="20"/>
    </w:rPr>
  </w:style>
  <w:style w:type="paragraph" w:customStyle="1" w:styleId="219">
    <w:name w:val="BHT正文"/>
    <w:basedOn w:val="1"/>
    <w:qFormat/>
    <w:uiPriority w:val="0"/>
    <w:pPr>
      <w:widowControl/>
      <w:spacing w:line="360" w:lineRule="auto"/>
      <w:ind w:firstLine="480" w:firstLineChars="200"/>
      <w:jc w:val="left"/>
    </w:pPr>
    <w:rPr>
      <w:rFonts w:cs="宋体"/>
      <w:kern w:val="0"/>
      <w:sz w:val="24"/>
    </w:rPr>
  </w:style>
  <w:style w:type="paragraph" w:customStyle="1" w:styleId="220">
    <w:name w:val="样式 标题 2 + Times New Roman 四号 非加粗 段前: 5 磅 段后: 0 磅 行距: 固定值 20..."/>
    <w:basedOn w:val="2"/>
    <w:qFormat/>
    <w:uiPriority w:val="0"/>
    <w:pPr>
      <w:spacing w:before="100" w:after="0" w:line="400" w:lineRule="exact"/>
    </w:pPr>
    <w:rPr>
      <w:rFonts w:ascii="Times New Roman" w:hAnsi="Times New Roman" w:eastAsia="宋体" w:cs="宋体"/>
      <w:b w:val="0"/>
      <w:bCs w:val="0"/>
      <w:szCs w:val="20"/>
    </w:rPr>
  </w:style>
  <w:style w:type="character" w:customStyle="1" w:styleId="221">
    <w:name w:val="正文首行缩进 Char"/>
    <w:basedOn w:val="54"/>
    <w:link w:val="36"/>
    <w:semiHidden/>
    <w:qFormat/>
    <w:uiPriority w:val="99"/>
    <w:rPr>
      <w:rFonts w:ascii="Calibri" w:hAnsi="Calibri" w:eastAsia="仿宋_GB2312" w:cs="Calibri"/>
      <w:kern w:val="2"/>
      <w:sz w:val="21"/>
      <w:szCs w:val="24"/>
      <w:lang w:eastAsia="en-US"/>
    </w:rPr>
  </w:style>
  <w:style w:type="character" w:customStyle="1" w:styleId="222">
    <w:name w:val="页脚 字符1"/>
    <w:qFormat/>
    <w:uiPriority w:val="99"/>
    <w:rPr>
      <w:rFonts w:ascii="Times New Roman" w:hAnsi="Times New Roman" w:eastAsia="宋体" w:cs="Times New Roman"/>
      <w:sz w:val="18"/>
      <w:szCs w:val="18"/>
    </w:rPr>
  </w:style>
  <w:style w:type="character" w:customStyle="1" w:styleId="223">
    <w:name w:val="正文首行缩进 2 Char"/>
    <w:basedOn w:val="55"/>
    <w:link w:val="37"/>
    <w:semiHidden/>
    <w:qFormat/>
    <w:uiPriority w:val="99"/>
    <w:rPr>
      <w:rFonts w:ascii="Calibri" w:hAnsi="Calibri" w:eastAsia="仿宋_GB2312" w:cs="Calibri"/>
      <w:kern w:val="2"/>
      <w:sz w:val="21"/>
      <w:szCs w:val="24"/>
      <w:lang w:eastAsia="en-US"/>
    </w:rPr>
  </w:style>
  <w:style w:type="paragraph" w:customStyle="1" w:styleId="224">
    <w:name w:val="a"/>
    <w:basedOn w:val="1"/>
    <w:qFormat/>
    <w:uiPriority w:val="99"/>
    <w:pPr>
      <w:widowControl/>
      <w:jc w:val="left"/>
    </w:pPr>
    <w:rPr>
      <w:rFonts w:ascii="宋体" w:hAnsi="宋体" w:cs="宋体"/>
      <w:kern w:val="0"/>
      <w:sz w:val="24"/>
    </w:rPr>
  </w:style>
  <w:style w:type="character" w:customStyle="1" w:styleId="225">
    <w:name w:val="_Style 3"/>
    <w:qFormat/>
    <w:uiPriority w:val="19"/>
    <w:rPr>
      <w:i/>
      <w:iCs/>
      <w:color w:val="404040"/>
    </w:rPr>
  </w:style>
  <w:style w:type="paragraph" w:customStyle="1" w:styleId="226">
    <w:name w:val="表正文"/>
    <w:basedOn w:val="1"/>
    <w:next w:val="11"/>
    <w:qFormat/>
    <w:uiPriority w:val="99"/>
    <w:pPr>
      <w:spacing w:line="360" w:lineRule="auto"/>
    </w:pPr>
    <w:rPr>
      <w:rFonts w:ascii="Times New Roman" w:hAnsi="Times New Roman"/>
      <w:szCs w:val="20"/>
    </w:rPr>
  </w:style>
  <w:style w:type="paragraph" w:customStyle="1" w:styleId="227">
    <w:name w:val="TOC 标题3"/>
    <w:basedOn w:val="3"/>
    <w:next w:val="1"/>
    <w:semiHidden/>
    <w:unhideWhenUsed/>
    <w:qFormat/>
    <w:uiPriority w:val="39"/>
    <w:pPr>
      <w:widowControl/>
      <w:spacing w:after="0" w:line="256" w:lineRule="auto"/>
      <w:jc w:val="left"/>
      <w:outlineLvl w:val="9"/>
    </w:pPr>
    <w:rPr>
      <w:rFonts w:ascii="Calibri Light" w:hAnsi="Calibri Light" w:eastAsia="宋体" w:cs="Times New Roman"/>
      <w:b w:val="0"/>
      <w:bCs w:val="0"/>
      <w:color w:val="2E74B5"/>
      <w:kern w:val="0"/>
      <w:szCs w:val="32"/>
    </w:rPr>
  </w:style>
  <w:style w:type="character" w:customStyle="1" w:styleId="228">
    <w:name w:val="No Spacing Char"/>
    <w:qFormat/>
    <w:locked/>
    <w:uiPriority w:val="99"/>
    <w:rPr>
      <w:sz w:val="22"/>
      <w:szCs w:val="22"/>
    </w:rPr>
  </w:style>
  <w:style w:type="paragraph" w:customStyle="1" w:styleId="22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2"/>
      <w:szCs w:val="22"/>
    </w:rPr>
  </w:style>
  <w:style w:type="paragraph" w:customStyle="1" w:styleId="230">
    <w:name w:val="font10"/>
    <w:basedOn w:val="1"/>
    <w:qFormat/>
    <w:uiPriority w:val="99"/>
    <w:pPr>
      <w:widowControl/>
      <w:spacing w:before="100" w:beforeAutospacing="1" w:after="100" w:afterAutospacing="1"/>
      <w:jc w:val="left"/>
    </w:pPr>
    <w:rPr>
      <w:rFonts w:ascii="Times New Roman" w:hAnsi="Times New Roman" w:cs="Times New Roman"/>
      <w:color w:val="000000"/>
      <w:kern w:val="0"/>
      <w:szCs w:val="21"/>
    </w:rPr>
  </w:style>
  <w:style w:type="paragraph" w:customStyle="1" w:styleId="23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paragraph" w:customStyle="1" w:styleId="23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paragraph" w:customStyle="1" w:styleId="23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2"/>
      <w:szCs w:val="22"/>
    </w:rPr>
  </w:style>
  <w:style w:type="paragraph" w:customStyle="1" w:styleId="234">
    <w:name w:val="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kern w:val="0"/>
      <w:szCs w:val="21"/>
    </w:rPr>
  </w:style>
  <w:style w:type="paragraph" w:customStyle="1" w:styleId="23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2"/>
      <w:szCs w:val="22"/>
    </w:rPr>
  </w:style>
  <w:style w:type="paragraph" w:customStyle="1" w:styleId="23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Cs w:val="21"/>
    </w:rPr>
  </w:style>
  <w:style w:type="paragraph" w:customStyle="1" w:styleId="23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character" w:customStyle="1" w:styleId="241">
    <w:name w:val="不明显强调1"/>
    <w:qFormat/>
    <w:uiPriority w:val="19"/>
    <w:rPr>
      <w:i/>
      <w:iCs/>
      <w:color w:val="404040"/>
    </w:rPr>
  </w:style>
  <w:style w:type="character" w:customStyle="1" w:styleId="242">
    <w:name w:val="副标题 Char1"/>
    <w:qFormat/>
    <w:locked/>
    <w:uiPriority w:val="99"/>
    <w:rPr>
      <w:rFonts w:ascii="等线 Light" w:hAnsi="等线 Light"/>
      <w:b/>
      <w:bCs/>
      <w:kern w:val="28"/>
      <w:sz w:val="32"/>
      <w:szCs w:val="32"/>
    </w:rPr>
  </w:style>
  <w:style w:type="character" w:customStyle="1" w:styleId="243">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0D04A-3786-4257-A0FB-C987A7346C25}">
  <ds:schemaRefs/>
</ds:datastoreItem>
</file>

<file path=customXml/itemProps3.xml><?xml version="1.0" encoding="utf-8"?>
<ds:datastoreItem xmlns:ds="http://schemas.openxmlformats.org/officeDocument/2006/customXml" ds:itemID="{710B0C83-2D90-414F-A120-E4FD29400378}">
  <ds:schemaRefs/>
</ds:datastoreItem>
</file>

<file path=customXml/itemProps4.xml><?xml version="1.0" encoding="utf-8"?>
<ds:datastoreItem xmlns:ds="http://schemas.openxmlformats.org/officeDocument/2006/customXml" ds:itemID="{9962A7D8-6E52-4B89-9D39-6F2D8543B227}">
  <ds:schemaRefs/>
</ds:datastoreItem>
</file>

<file path=docProps/app.xml><?xml version="1.0" encoding="utf-8"?>
<Properties xmlns="http://schemas.openxmlformats.org/officeDocument/2006/extended-properties" xmlns:vt="http://schemas.openxmlformats.org/officeDocument/2006/docPropsVTypes">
  <Template>Normal</Template>
  <Pages>76</Pages>
  <Words>6902</Words>
  <Characters>39346</Characters>
  <Lines>327</Lines>
  <Paragraphs>92</Paragraphs>
  <TotalTime>80</TotalTime>
  <ScaleCrop>false</ScaleCrop>
  <LinksUpToDate>false</LinksUpToDate>
  <CharactersWithSpaces>46156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2023-11-17T08:55:00Z</dcterms:created>
  <dc:creator>蒋爱军</dc:creator>
  <cp:lastModifiedBy>哦莫 哦莫</cp:lastModifiedBy>
  <cp:lastPrinted>2022-03-26T03:18:00Z</cp:lastPrinted>
  <dcterms:modified xsi:type="dcterms:W3CDTF">2023-11-20T08:59:27Z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E5869B3C667242008B6544A6DFEC61E0_13</vt:lpwstr>
  </property>
</Properties>
</file>